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00000"/>
        </w:rPr>
        <w:t>1. IDENTIFICAÇÃO DO PRODUTO E DA EMPRESA</w:t>
      </w: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Nome do Produto</w:t>
      </w:r>
      <w:r w:rsidRPr="00AC71EE">
        <w:rPr>
          <w:rFonts w:ascii="Arial" w:hAnsi="Arial" w:cs="Arial"/>
          <w:color w:val="000000"/>
        </w:rPr>
        <w:t xml:space="preserve">:  </w:t>
      </w:r>
      <w:r>
        <w:rPr>
          <w:rFonts w:ascii="Arial" w:hAnsi="Arial" w:cs="Arial"/>
          <w:color w:val="000000"/>
        </w:rPr>
        <w:t>DDVP 500 CE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C71EE">
        <w:rPr>
          <w:rFonts w:ascii="Arial" w:hAnsi="Arial" w:cs="Arial"/>
          <w:b/>
          <w:color w:val="000000"/>
        </w:rPr>
        <w:t>Aplicação</w:t>
      </w:r>
      <w:r w:rsidRPr="00AC71EE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Inseticida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C71EE">
        <w:rPr>
          <w:rFonts w:ascii="Arial" w:hAnsi="Arial" w:cs="Arial"/>
          <w:b/>
          <w:color w:val="000000"/>
        </w:rPr>
        <w:t>Fabricante</w:t>
      </w:r>
      <w:r w:rsidRPr="00AC71EE">
        <w:rPr>
          <w:rFonts w:ascii="Arial" w:hAnsi="Arial" w:cs="Arial"/>
          <w:color w:val="000000"/>
        </w:rPr>
        <w:t>:  Bio Carb Industria Química Ltda.</w:t>
      </w:r>
      <w:r w:rsidRPr="00AC71E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End.:</w:t>
      </w:r>
      <w:r w:rsidRPr="00AC71EE">
        <w:rPr>
          <w:rFonts w:ascii="Arial" w:hAnsi="Arial" w:cs="Arial"/>
          <w:color w:val="000000"/>
        </w:rPr>
        <w:t xml:space="preserve"> R, Luiz Valenza, 100 – Bairro Cic.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b/>
          <w:color w:val="000000"/>
        </w:rPr>
        <w:t>Cep</w:t>
      </w:r>
      <w:r w:rsidRPr="00AC71EE">
        <w:rPr>
          <w:rFonts w:ascii="Arial" w:hAnsi="Arial" w:cs="Arial"/>
          <w:color w:val="000000"/>
        </w:rPr>
        <w:t>: 81350-080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 xml:space="preserve"> 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 xml:space="preserve">E-mail: </w:t>
      </w:r>
      <w:hyperlink r:id="rId7" w:history="1">
        <w:r w:rsidRPr="00AC71EE">
          <w:rPr>
            <w:rStyle w:val="Hyperlink"/>
            <w:rFonts w:ascii="Arial" w:hAnsi="Arial" w:cs="Arial"/>
          </w:rPr>
          <w:t>biocarb@biocarb.com.br</w:t>
        </w:r>
      </w:hyperlink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>Fone:  (XX41)3074-8080</w:t>
      </w:r>
    </w:p>
    <w:p w:rsidR="00D81404" w:rsidRPr="00AC71EE" w:rsidRDefault="00D81404" w:rsidP="00D814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C71EE">
        <w:rPr>
          <w:rFonts w:ascii="Arial" w:hAnsi="Arial" w:cs="Arial"/>
          <w:color w:val="000000"/>
        </w:rPr>
        <w:t>Telefone de emergência:  (XX41) 3074-8080</w:t>
      </w: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2. </w:t>
      </w:r>
      <w:r>
        <w:rPr>
          <w:rFonts w:ascii="Arial,Bold" w:hAnsi="Arial,Bold" w:cs="Arial,Bold"/>
          <w:b/>
          <w:bCs/>
          <w:color w:val="000000"/>
        </w:rPr>
        <w:t>COMPOSIÇÃO E INFORMAÇÕES SOBRE OS INGREDIENTES</w:t>
      </w:r>
    </w:p>
    <w:p w:rsidR="00D81404" w:rsidRDefault="00D81404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81404">
        <w:rPr>
          <w:rFonts w:ascii="Arial" w:hAnsi="Arial" w:cs="Arial"/>
          <w:b/>
          <w:color w:val="000000"/>
        </w:rPr>
        <w:t>Natureza Química</w:t>
      </w:r>
      <w:r>
        <w:rPr>
          <w:rFonts w:ascii="Arial" w:hAnsi="Arial" w:cs="Arial"/>
          <w:color w:val="000000"/>
        </w:rPr>
        <w:t>: Este produto químico é um preparado.</w:t>
      </w:r>
    </w:p>
    <w:p w:rsidR="00D81404" w:rsidRDefault="00D81404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jc w:val="center"/>
        <w:tblInd w:w="63" w:type="dxa"/>
        <w:tblLook w:val="04A0" w:firstRow="1" w:lastRow="0" w:firstColumn="1" w:lastColumn="0" w:noHBand="0" w:noVBand="1"/>
      </w:tblPr>
      <w:tblGrid>
        <w:gridCol w:w="2181"/>
        <w:gridCol w:w="2244"/>
        <w:gridCol w:w="2245"/>
        <w:gridCol w:w="2245"/>
      </w:tblGrid>
      <w:tr w:rsidR="00D81404" w:rsidTr="00882B2D">
        <w:trPr>
          <w:jc w:val="center"/>
        </w:trPr>
        <w:tc>
          <w:tcPr>
            <w:tcW w:w="2181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químico</w:t>
            </w:r>
          </w:p>
        </w:tc>
        <w:tc>
          <w:tcPr>
            <w:tcW w:w="2244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Cas</w:t>
            </w:r>
          </w:p>
        </w:tc>
        <w:tc>
          <w:tcPr>
            <w:tcW w:w="2245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Concentração %</w:t>
            </w:r>
          </w:p>
        </w:tc>
        <w:tc>
          <w:tcPr>
            <w:tcW w:w="2245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Fórmula Molecular</w:t>
            </w:r>
          </w:p>
        </w:tc>
      </w:tr>
      <w:tr w:rsidR="00D81404" w:rsidTr="00882B2D">
        <w:trPr>
          <w:jc w:val="center"/>
        </w:trPr>
        <w:tc>
          <w:tcPr>
            <w:tcW w:w="2181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Fosfato de 0,0-dimetil-2,2-diclorovinila</w:t>
            </w:r>
          </w:p>
        </w:tc>
        <w:tc>
          <w:tcPr>
            <w:tcW w:w="2244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62-73-7</w:t>
            </w:r>
          </w:p>
        </w:tc>
        <w:tc>
          <w:tcPr>
            <w:tcW w:w="2245" w:type="dxa"/>
          </w:tcPr>
          <w:p w:rsid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45" w:type="dxa"/>
          </w:tcPr>
          <w:p w:rsidR="00D81404" w:rsidRPr="00D81404" w:rsidRDefault="00D81404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vertAlign w:val="subscript"/>
              </w:rPr>
              <w:t>7</w:t>
            </w:r>
            <w:r>
              <w:rPr>
                <w:rFonts w:ascii="Arial" w:hAnsi="Arial" w:cs="Arial"/>
                <w:color w:val="000000"/>
              </w:rPr>
              <w:t>Cl</w:t>
            </w:r>
            <w:r>
              <w:rPr>
                <w:rFonts w:ascii="Arial" w:hAnsi="Arial" w:cs="Arial"/>
                <w:color w:val="000000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</w:rPr>
              <w:t>P</w:t>
            </w:r>
          </w:p>
        </w:tc>
      </w:tr>
      <w:tr w:rsidR="00D81404" w:rsidTr="00882B2D">
        <w:trPr>
          <w:jc w:val="center"/>
        </w:trPr>
        <w:tc>
          <w:tcPr>
            <w:tcW w:w="2181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1,3,5-Trimetilbenzeno</w:t>
            </w:r>
          </w:p>
        </w:tc>
        <w:tc>
          <w:tcPr>
            <w:tcW w:w="2244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64742-95-6</w:t>
            </w:r>
          </w:p>
        </w:tc>
        <w:tc>
          <w:tcPr>
            <w:tcW w:w="2245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245" w:type="dxa"/>
          </w:tcPr>
          <w:p w:rsidR="00D81404" w:rsidRDefault="003C09D2" w:rsidP="003C09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</w:t>
            </w:r>
          </w:p>
        </w:tc>
      </w:tr>
    </w:tbl>
    <w:p w:rsidR="00D81404" w:rsidRDefault="00D81404" w:rsidP="003C09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C09D2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Sinônimos:</w:t>
      </w:r>
      <w:r>
        <w:rPr>
          <w:rFonts w:ascii="Arial" w:hAnsi="Arial" w:cs="Arial"/>
          <w:color w:val="000000"/>
        </w:rPr>
        <w:t xml:space="preserve"> Diclorvos, DDVP, </w:t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Ingredientes ou impurezas que contribuam para o perigo</w:t>
      </w:r>
      <w:r>
        <w:rPr>
          <w:rFonts w:ascii="Arial" w:hAnsi="Arial" w:cs="Arial"/>
          <w:color w:val="000000"/>
        </w:rPr>
        <w:t>: os demais componentes da formulação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são classificados como perigosos.</w:t>
      </w:r>
    </w:p>
    <w:p w:rsidR="003C09D2" w:rsidRP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Classificação e rotulagem de perigo</w:t>
      </w:r>
      <w:r>
        <w:rPr>
          <w:rFonts w:ascii="Arial" w:hAnsi="Arial" w:cs="Arial"/>
          <w:color w:val="000000"/>
        </w:rPr>
        <w:t>:</w:t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829273" cy="1581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7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27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680BE0" w:rsidRDefault="00680BE0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lastRenderedPageBreak/>
        <w:t xml:space="preserve">3. </w:t>
      </w:r>
      <w:r>
        <w:rPr>
          <w:rFonts w:ascii="Arial,Bold" w:hAnsi="Arial,Bold" w:cs="Arial,Bold"/>
          <w:b/>
          <w:bCs/>
          <w:color w:val="000000"/>
        </w:rPr>
        <w:t>IDENTIFICAÇÃO DE PERIGOS</w:t>
      </w:r>
    </w:p>
    <w:p w:rsidR="003C09D2" w:rsidRDefault="003C09D2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Perigos mais importantes</w:t>
      </w:r>
      <w:r>
        <w:rPr>
          <w:rFonts w:ascii="Arial" w:hAnsi="Arial" w:cs="Arial"/>
          <w:color w:val="000000"/>
        </w:rPr>
        <w:t>: o produto pode ser tóxico ao homem e ao meio ambiente se não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utilizado conforme as recomendações.</w:t>
      </w:r>
    </w:p>
    <w:p w:rsidR="003C09D2" w:rsidRDefault="003C09D2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3C09D2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C09D2">
        <w:rPr>
          <w:rFonts w:ascii="Arial" w:hAnsi="Arial" w:cs="Arial"/>
          <w:b/>
          <w:color w:val="000000"/>
        </w:rPr>
        <w:t>Efeitos do Produto: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Efeitos adversos à saúde humana</w:t>
      </w:r>
      <w:r>
        <w:rPr>
          <w:rFonts w:ascii="Arial" w:hAnsi="Arial" w:cs="Arial"/>
          <w:color w:val="000000"/>
        </w:rPr>
        <w:t>: o produto pode ser absorvido pelas vias respiratória,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dérmica e oral. O contato com o produto pode provocar irritações na pele e nos olhos. O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DDVP é um inibidor das colinesterases e pode provocar intoxicações graves.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Efeitos Ambientais</w:t>
      </w:r>
      <w:r>
        <w:rPr>
          <w:rFonts w:ascii="Arial" w:hAnsi="Arial" w:cs="Arial"/>
          <w:color w:val="000000"/>
        </w:rPr>
        <w:t>: O DDVP apresenta alta toxicidade para pássaros, patos, peixes,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organismos aquáticos e abelhas (EXTOXNET, 2003).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Perigos físicos/químicos</w:t>
      </w:r>
      <w:r>
        <w:rPr>
          <w:rFonts w:ascii="Arial" w:hAnsi="Arial" w:cs="Arial"/>
          <w:color w:val="000000"/>
        </w:rPr>
        <w:t>: o produto é inflamável.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Perigos específicos</w:t>
      </w:r>
      <w:r>
        <w:rPr>
          <w:rFonts w:ascii="Arial" w:hAnsi="Arial" w:cs="Arial"/>
          <w:color w:val="000000"/>
        </w:rPr>
        <w:t>: não há outros perigos relacionados ao produto.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09D2">
        <w:rPr>
          <w:rFonts w:ascii="Arial" w:hAnsi="Arial" w:cs="Arial"/>
          <w:b/>
          <w:color w:val="000000"/>
        </w:rPr>
        <w:t>Principais Sintomas</w:t>
      </w:r>
      <w:r>
        <w:rPr>
          <w:rFonts w:ascii="Arial" w:hAnsi="Arial" w:cs="Arial"/>
          <w:color w:val="000000"/>
        </w:rPr>
        <w:t>: o DDVP é um organofosforado e pode provocar náuseas, vômitos, diarréia,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salivação e sudorese excessiva; em casos mais graves bradicardia, miose, secreção pulmonar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aumentada, incoordenação muscular, fasciculações e contrações musculares, depressão do SNC,</w:t>
      </w:r>
      <w:r w:rsidR="003C09D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crises convulsivas generalizadas, coma e óbito.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4. </w:t>
      </w:r>
      <w:r>
        <w:rPr>
          <w:rFonts w:ascii="Arial,Bold" w:hAnsi="Arial,Bold" w:cs="Arial,Bold"/>
          <w:b/>
          <w:bCs/>
          <w:color w:val="000000"/>
        </w:rPr>
        <w:t>MEDIDAS DE PRIMEIROS SOCORROS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Medidas de Primeiros Socorros</w:t>
      </w:r>
      <w:r>
        <w:rPr>
          <w:rFonts w:ascii="Arial" w:hAnsi="Arial" w:cs="Arial"/>
          <w:color w:val="000000"/>
        </w:rPr>
        <w:t>: levar o acidentado para um local arejado. Retirar as roupas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contaminadas. Lavar as partes do corpo atingidas com água em abundância e sabão. Se 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acidentado estiver inconsciente e não respirar mais, praticar respiração artificial ou oxigenação.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Encaminhar ao serviço médico mais próximo levando esta ficha.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Inalação: remover a pessoa para local arejado. Se não estiver respirando, faça respiração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artificial. Se respirar com dificuldade, consultar um médico imediatamente.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Contato com a pele</w:t>
      </w:r>
      <w:r>
        <w:rPr>
          <w:rFonts w:ascii="Arial" w:hAnsi="Arial" w:cs="Arial"/>
          <w:color w:val="000000"/>
        </w:rPr>
        <w:t>: lavar imediatamente a área afetada com água em abundância e sabão.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Remover as roupas contaminadas. Ocorrendo efeitos/sintomas, consultar um médico. Lavar as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roupas contaminadas antes de reutilizá-las e descartar os sapatos contaminados.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Contato com os olhos</w:t>
      </w:r>
      <w:r>
        <w:rPr>
          <w:rFonts w:ascii="Arial" w:hAnsi="Arial" w:cs="Arial"/>
          <w:color w:val="000000"/>
        </w:rPr>
        <w:t>: lavá-los imediatamente com água em abundância. Consultar um médico.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Ingestão:</w:t>
      </w:r>
      <w:r>
        <w:rPr>
          <w:rFonts w:ascii="Arial" w:hAnsi="Arial" w:cs="Arial"/>
          <w:color w:val="000000"/>
        </w:rPr>
        <w:t xml:space="preserve"> não provocar vômito, entretanto é possível que o mesmo ocorra espontaneamente não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devendo ser evitado, deitar o paciente de lado para evitar que aspire resíduos. Procurar um médico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imediatamente. </w:t>
      </w:r>
      <w:r w:rsidRPr="00E36A30">
        <w:rPr>
          <w:rFonts w:ascii="Arial" w:hAnsi="Arial" w:cs="Arial"/>
          <w:b/>
          <w:color w:val="000000"/>
        </w:rPr>
        <w:t>ATENÇÃO:</w:t>
      </w:r>
      <w:r>
        <w:rPr>
          <w:rFonts w:ascii="Arial" w:hAnsi="Arial" w:cs="Arial"/>
          <w:color w:val="000000"/>
        </w:rPr>
        <w:t xml:space="preserve"> nunca dê algo por via oral para uma pessoa inconsciente.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Quais ações devem ser evitadas</w:t>
      </w:r>
      <w:r>
        <w:rPr>
          <w:rFonts w:ascii="Arial" w:hAnsi="Arial" w:cs="Arial"/>
          <w:color w:val="000000"/>
        </w:rPr>
        <w:t>: não aplicar respiração boca a boca caso o paciente tenha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ingerido o produto. Utilizar um equipamento intermediário ou aparelho de reanimação manual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(Ambu) para realizar o procedimento.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Proteção para os prestadores de primeiros socorros</w:t>
      </w:r>
      <w:r>
        <w:rPr>
          <w:rFonts w:ascii="Arial" w:hAnsi="Arial" w:cs="Arial"/>
          <w:color w:val="000000"/>
        </w:rPr>
        <w:t>: evitar contato cutâneo e inalatório com 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 durante o processo.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lastRenderedPageBreak/>
        <w:t>Notas para o médico</w:t>
      </w:r>
      <w:r>
        <w:rPr>
          <w:rFonts w:ascii="Arial" w:hAnsi="Arial" w:cs="Arial"/>
          <w:color w:val="000000"/>
        </w:rPr>
        <w:t>: o esvaziamento gástrico, através de emese ou lavagem gástrica, só deverá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 realizado em ingestões recentes de grandes quantidades. Medidas de redução de risco de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aspiração deverão ser adotadas caso haja necessidade de esvaziamento, visando prevenir 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aspiração pulmonar, em virtude do risco da pneumonite química, uma vez que a formulação contém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derivados de petróleo. Carvão ativado e catárticos serão úteis na prevenção da absorção do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ingrediente ativo pelo trato gastrointestinal. Os antídotos à serem administrados são o Sulfato de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Atropina e as Oximas (Contrathion</w:t>
      </w:r>
      <w:r>
        <w:rPr>
          <w:rFonts w:ascii="Arial" w:hAnsi="Arial" w:cs="Arial"/>
          <w:color w:val="000000"/>
          <w:sz w:val="14"/>
          <w:szCs w:val="14"/>
        </w:rPr>
        <w:t>®</w:t>
      </w:r>
      <w:r>
        <w:rPr>
          <w:rFonts w:ascii="Arial" w:hAnsi="Arial" w:cs="Arial"/>
          <w:color w:val="000000"/>
        </w:rPr>
        <w:t>). Administrar Oximas (Contrathion</w:t>
      </w:r>
      <w:r>
        <w:rPr>
          <w:rFonts w:ascii="Arial" w:hAnsi="Arial" w:cs="Arial"/>
          <w:color w:val="000000"/>
          <w:sz w:val="14"/>
          <w:szCs w:val="14"/>
        </w:rPr>
        <w:t>®</w:t>
      </w:r>
      <w:r>
        <w:rPr>
          <w:rFonts w:ascii="Arial" w:hAnsi="Arial" w:cs="Arial"/>
          <w:color w:val="000000"/>
        </w:rPr>
        <w:t>), precocemente, via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endovenosa lenta na dose de 1-2 g por dia à cada 6 horas dependendo da severidade da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intoxicação, não ultrapassando a velocidade de 0,2 g/minuto. O sulfato de atropina deverá ser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administrado somente na vigência de sintomatologia colinérgica na dose de 1-2 mg endovenoso, à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cada 10 ou 20 minutos até a reversão da sintomatologia (bradicardia, sialorréia, secreção pulmonar,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miose, etc). Não administrar atropina se a sintomatologia não estiver presente. Medidas de suporte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tais como assistência respiratória, correção dos distúrbios hidroeletrolíticos e metabólicos devem ser</w:t>
      </w: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adotadas. Se possível, solicitar dosagem de atividade de colinesterases, que será de grande valia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como critério evolutivo. Em caso de contato ocular, proceder à lavagem com soro fisiológico seguida</w:t>
      </w:r>
      <w:r w:rsidR="00E36A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oclusão e encaminhamento para avaliação oftalmológica.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5. </w:t>
      </w:r>
      <w:r>
        <w:rPr>
          <w:rFonts w:ascii="Arial,Bold" w:hAnsi="Arial,Bold" w:cs="Arial,Bold"/>
          <w:b/>
          <w:bCs/>
          <w:color w:val="000000"/>
        </w:rPr>
        <w:t>MEDIDAS DE PREVENÇÃO E COMBATE A INCÊNDIO</w:t>
      </w:r>
    </w:p>
    <w:p w:rsidR="00E36A30" w:rsidRDefault="00E36A30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36A30">
        <w:rPr>
          <w:rFonts w:ascii="Arial" w:hAnsi="Arial" w:cs="Arial"/>
          <w:b/>
          <w:color w:val="000000"/>
        </w:rPr>
        <w:t>Meios de extinção apropriados</w:t>
      </w:r>
      <w:r>
        <w:rPr>
          <w:rFonts w:ascii="Arial" w:hAnsi="Arial" w:cs="Arial"/>
          <w:color w:val="000000"/>
        </w:rPr>
        <w:t>: espuma, CO</w:t>
      </w:r>
      <w:r>
        <w:rPr>
          <w:rFonts w:ascii="Arial" w:hAnsi="Arial" w:cs="Arial"/>
          <w:color w:val="000000"/>
          <w:sz w:val="14"/>
          <w:szCs w:val="14"/>
        </w:rPr>
        <w:t>2</w:t>
      </w:r>
      <w:r>
        <w:rPr>
          <w:rFonts w:ascii="Arial" w:hAnsi="Arial" w:cs="Arial"/>
          <w:color w:val="000000"/>
        </w:rPr>
        <w:t>, pó químico e água em último caso.</w:t>
      </w:r>
    </w:p>
    <w:p w:rsidR="00882B2D" w:rsidRDefault="00E9647A" w:rsidP="00882B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Procedimentos Especiais</w:t>
      </w:r>
      <w:r>
        <w:rPr>
          <w:rFonts w:ascii="Arial" w:hAnsi="Arial" w:cs="Arial"/>
          <w:color w:val="000000"/>
        </w:rPr>
        <w:t>: utilizar EPI adequado para evitar o contato direto com o produto.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Avental de PVC, luvas de borracha e botas de borracha são recomendados. 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Máscara autônoma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 ser utilizada para evitar a exposição a gases e fumos provenientes da combustão do produto.</w:t>
      </w:r>
    </w:p>
    <w:p w:rsidR="00494985" w:rsidRDefault="00494985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6. MEDIDAS DE CONTROLE PARA DERRAMAMENTO OU VAZAMENTO</w:t>
      </w:r>
    </w:p>
    <w:p w:rsidR="00494985" w:rsidRDefault="00494985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Precauções pessoais</w:t>
      </w:r>
      <w:r>
        <w:rPr>
          <w:rFonts w:ascii="Arial" w:hAnsi="Arial" w:cs="Arial"/>
          <w:color w:val="000000"/>
        </w:rPr>
        <w:t>: utilizar macacão impermeável, óculos protetores, botas de borracha e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luvas de borracha nitrílica ou PVC. A proteção respiratória deverá ser realizada dependendo das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concentrações presentes no ambiente ou da extensão do derramamento/vazamento, para tanto,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deverá se optar por máscaras semifaciais ou faciais inteiras com filtro substituível ou ainda,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respiradores de adução de ar (ex.: máscaras autônomas).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Remoção de fontes de ignição</w:t>
      </w:r>
      <w:r>
        <w:rPr>
          <w:rFonts w:ascii="Arial" w:hAnsi="Arial" w:cs="Arial"/>
          <w:color w:val="000000"/>
        </w:rPr>
        <w:t>: interromper a energia elétrica e desligar fontes geradoras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faíscas. Retirar do local todo material que possa causar princípio de incêndio (ex. óleo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diesel).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Controle de poeira</w:t>
      </w:r>
      <w:r>
        <w:rPr>
          <w:rFonts w:ascii="Arial" w:hAnsi="Arial" w:cs="Arial"/>
          <w:color w:val="000000"/>
        </w:rPr>
        <w:t>: não aplicável por tratar-se de um líquido.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Prevenção da inalação e do contato com a pele, mucosas e olhos</w:t>
      </w:r>
      <w:r>
        <w:rPr>
          <w:rFonts w:ascii="Arial" w:hAnsi="Arial" w:cs="Arial"/>
          <w:color w:val="000000"/>
        </w:rPr>
        <w:t>: utilizar roupas e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acessórios descritos acima.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lastRenderedPageBreak/>
        <w:t>Precauções para o meio ambiente</w:t>
      </w:r>
      <w:r>
        <w:rPr>
          <w:rFonts w:ascii="Arial" w:hAnsi="Arial" w:cs="Arial"/>
          <w:color w:val="000000"/>
        </w:rPr>
        <w:t>: evitar a contaminação dos cursos d’água vedando a entrada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galerias de águas pluviais (boca de lobo). Evitar que resíduos do produto derramado atinjam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coleções de água construindo diques com terra, areia ou outro material absorvente.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94985">
        <w:rPr>
          <w:rFonts w:ascii="Arial" w:hAnsi="Arial" w:cs="Arial"/>
          <w:b/>
          <w:color w:val="000000"/>
        </w:rPr>
        <w:t>Métodos para limpeza</w:t>
      </w:r>
      <w:r>
        <w:rPr>
          <w:rFonts w:ascii="Arial" w:hAnsi="Arial" w:cs="Arial"/>
          <w:color w:val="000000"/>
        </w:rPr>
        <w:t>: conter e recolher o derramamento com materiais absorventes não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combustíveis (ex: areia, terra, vermiculita, terra de diatomácea). Colocar os resíduos em um</w:t>
      </w:r>
      <w:r w:rsidR="0049498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recipiente para eliminação de acordo com as regulamentações locais. Limpar preferivelmente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 um detergente; evitar o uso de solventes.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Prevenção de perigos secundários:</w:t>
      </w:r>
      <w:r>
        <w:rPr>
          <w:rFonts w:ascii="Arial" w:hAnsi="Arial" w:cs="Arial"/>
          <w:color w:val="000000"/>
        </w:rPr>
        <w:t xml:space="preserve"> evitar que o produto contamine riachos, lagos, fontes de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água, poços, esgotos pluviais e efluentes.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7. MANUSEIO E ARMAZENAMENTO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BD18C8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18C8">
        <w:rPr>
          <w:rFonts w:ascii="Arial" w:hAnsi="Arial" w:cs="Arial"/>
          <w:b/>
          <w:color w:val="000000"/>
        </w:rPr>
        <w:t>Manuseio: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Medidas técnicas</w:t>
      </w:r>
      <w:r>
        <w:rPr>
          <w:rFonts w:ascii="Arial" w:hAnsi="Arial" w:cs="Arial"/>
          <w:color w:val="000000"/>
        </w:rPr>
        <w:t>: utilizar EPI conforme descrito no Item 8. Manter pessoas, principalmente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crianças e animais domésticos longe do local de trabalho. Não entrar em contato direto com o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produto. Evitar derrames ou contaminação do equipamento de aplicação, durante o seu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abastecimento.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Prevenção da exposição do trabalhador</w:t>
      </w:r>
      <w:r>
        <w:rPr>
          <w:rFonts w:ascii="Arial" w:hAnsi="Arial" w:cs="Arial"/>
          <w:color w:val="000000"/>
        </w:rPr>
        <w:t>: utilizar EPI conforme descrito no Item 8. Não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comer, beber ou fumar durante o manuseio do produto. Ao abrir a embalagem fazê-lo de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modo a evitar vazamento. Não utilizar equipamentos de proteção individual e de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aplicação danificados e /ou defeituosos. Não desentupir bicos, orifícios, tubulações eválvulas com a boca. Não manipular e/ou carregar embalagens danificadas.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Precauções para manuseio seguro</w:t>
      </w:r>
      <w:r>
        <w:rPr>
          <w:rFonts w:ascii="Arial" w:hAnsi="Arial" w:cs="Arial"/>
          <w:color w:val="000000"/>
        </w:rPr>
        <w:t>: utilizar EPI conforme descrito no Item 8. Não aplicar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produto nas horas mais quentes do dia, contra ou na presença de ventos fortes de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modo a evitar a sua deriva.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Prevenção de incêndio e explosão</w:t>
      </w:r>
      <w:r>
        <w:rPr>
          <w:rFonts w:ascii="Arial" w:hAnsi="Arial" w:cs="Arial"/>
          <w:color w:val="000000"/>
        </w:rPr>
        <w:t>: manter as embalagens cheias ou vazias do produto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afastadas do calor, faíscas, chamas e outras fontes de ignição não aplique e não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manipule também o produto próximo à fontes de ignição.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Orientações para manuseio seguro</w:t>
      </w:r>
      <w:r>
        <w:rPr>
          <w:rFonts w:ascii="Arial" w:hAnsi="Arial" w:cs="Arial"/>
          <w:color w:val="000000"/>
        </w:rPr>
        <w:t>: utilizar EPI conforme descrito no Item 8. Manusear o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produto com exaustão local apropriada ou em área bem ventilada, se em ambientes abertos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manuseá-lo a favor do vento. Aplicar somente as doses recomendadas pelo fabricante. No caso de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sintomas de intoxicação, interromper imediatamente o trabalho e proceder conforme descrito no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Item 4 desta ficha.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680BE0" w:rsidRDefault="00680BE0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BD18C8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18C8">
        <w:rPr>
          <w:rFonts w:ascii="Arial" w:hAnsi="Arial" w:cs="Arial"/>
          <w:b/>
          <w:color w:val="000000"/>
        </w:rPr>
        <w:lastRenderedPageBreak/>
        <w:t>Armazenamento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Medidas técnicas apropriadas</w:t>
      </w:r>
      <w:r>
        <w:rPr>
          <w:rFonts w:ascii="Arial" w:hAnsi="Arial" w:cs="Arial"/>
          <w:color w:val="000000"/>
        </w:rPr>
        <w:t>: manter o produto em seu recipiente original. Manter as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eventuais sobras dos produtos em suas embalagens originais adequadamente fechadas.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BD18C8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BD18C8">
        <w:rPr>
          <w:rFonts w:ascii="Arial" w:hAnsi="Arial" w:cs="Arial"/>
          <w:b/>
          <w:color w:val="000000"/>
        </w:rPr>
        <w:t>Condições de armazenamento</w:t>
      </w:r>
    </w:p>
    <w:p w:rsidR="00BD18C8" w:rsidRDefault="00BD18C8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D18C8">
        <w:rPr>
          <w:rFonts w:ascii="Arial" w:hAnsi="Arial" w:cs="Arial"/>
          <w:b/>
          <w:color w:val="000000"/>
        </w:rPr>
        <w:t>Adequadas</w:t>
      </w:r>
      <w:r>
        <w:rPr>
          <w:rFonts w:ascii="Arial" w:hAnsi="Arial" w:cs="Arial"/>
          <w:color w:val="000000"/>
        </w:rPr>
        <w:t>: manter o recipiente adequadamente fechado, à temperatura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ambiente e ao abrigo da luz. Armazená-lo em local, devidamente identificado,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exclusivo para produtos tóxicos. Trancar o local evitando o acesso de pessoas</w:t>
      </w:r>
      <w:r w:rsidR="00BD18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autorizadas e crianças.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A evitar</w:t>
      </w:r>
      <w:r>
        <w:rPr>
          <w:rFonts w:ascii="Arial" w:hAnsi="Arial" w:cs="Arial"/>
          <w:color w:val="000000"/>
        </w:rPr>
        <w:t>: locais úmidos e com fontes de calor.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Produtos e materiais incompatíveis</w:t>
      </w:r>
      <w:r>
        <w:rPr>
          <w:rFonts w:ascii="Arial" w:hAnsi="Arial" w:cs="Arial"/>
          <w:color w:val="000000"/>
        </w:rPr>
        <w:t>: não armazenar junto com alimentos,</w:t>
      </w: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bebidas, inclusive os destinados para animais.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CB4203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Materiais seguros para embalagens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Recomendadas:</w:t>
      </w:r>
      <w:r>
        <w:rPr>
          <w:rFonts w:ascii="Arial" w:hAnsi="Arial" w:cs="Arial"/>
          <w:color w:val="000000"/>
        </w:rPr>
        <w:t xml:space="preserve"> produto já embalado em embalagem apropriada.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8. CONTROLE DE EXPOSIÇÃO E PROTEÇÃO INDIVIDUAL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Medidas de controle de engenharia</w:t>
      </w:r>
      <w:r>
        <w:rPr>
          <w:rFonts w:ascii="Arial" w:hAnsi="Arial" w:cs="Arial"/>
          <w:color w:val="000000"/>
        </w:rPr>
        <w:t>: quando aplicável utilizar ventilação exaustora apropriada,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visando garantir uma ventilação adequada ao local de trabalho (NR9).</w:t>
      </w:r>
    </w:p>
    <w:p w:rsidR="00CB4203" w:rsidRDefault="00CB4203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D3DB9" w:rsidRDefault="00E9647A" w:rsidP="003D3D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Procedimentos recomendados para monitoramento</w:t>
      </w:r>
      <w:r>
        <w:rPr>
          <w:rFonts w:ascii="Arial" w:hAnsi="Arial" w:cs="Arial"/>
          <w:color w:val="000000"/>
        </w:rPr>
        <w:t>: o indivíduo exposto ao DICLORVOS deverá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ser suspenso do trabalho quando a atividade das colinesterases nos eritrócitos ou plasma for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menor do que 50% do normal do indivíduo. Este poderá retornar as atividades quando a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colinesterase atingir cerca de 75% do normal do indivíduo. Portanto a realização de dosagem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colinesterase admissional torna-se importante. Em 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todos os casos de intoxicação, torna-se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essencial manter a vigilância geral, monitorização da atividade das colinesterases 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monitoramento cardíaco por pelo menos 4 dias, ou mais se necessário, e adotar terapia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suporte geral e terapia específica de acordo com os dados encontrados.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Equipamentos de proteção individual: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respiratória</w:t>
      </w:r>
      <w:r>
        <w:rPr>
          <w:rFonts w:ascii="Arial" w:hAnsi="Arial" w:cs="Arial"/>
          <w:color w:val="000000"/>
        </w:rPr>
        <w:t>: utilizar máscaras combinadas, com filtro químico e filtro mecânico,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 máscara de borracha ou silicone com filtro para pesticidas, cobrindo nariz e boca.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para as mãos</w:t>
      </w:r>
      <w:r>
        <w:rPr>
          <w:rFonts w:ascii="Arial" w:hAnsi="Arial" w:cs="Arial"/>
          <w:color w:val="000000"/>
        </w:rPr>
        <w:t>: utilizar luvas de borracha nitrílica, PVC ou outro material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impermeável.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para os olhos</w:t>
      </w:r>
      <w:r>
        <w:rPr>
          <w:rFonts w:ascii="Arial" w:hAnsi="Arial" w:cs="Arial"/>
          <w:color w:val="000000"/>
        </w:rPr>
        <w:t>: utilizar óculos de segurança para produtos químicos.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Proteção para a pele e corpo</w:t>
      </w:r>
      <w:r>
        <w:rPr>
          <w:rFonts w:ascii="Arial" w:hAnsi="Arial" w:cs="Arial"/>
          <w:color w:val="000000"/>
        </w:rPr>
        <w:t>: utilizar macacão de mangas compridas impermeáveis ou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hidro repelentes.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lastRenderedPageBreak/>
        <w:t>Precauções Especiais</w:t>
      </w:r>
      <w:r>
        <w:rPr>
          <w:rFonts w:ascii="Arial" w:hAnsi="Arial" w:cs="Arial"/>
          <w:color w:val="000000"/>
        </w:rPr>
        <w:t>: manter os EPI’s devidamente limpos e em condições adequadas de uso,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realizando periodicamente inspeções e possíveis manutenções e/ou substituições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equipamentos danificados.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Medidas de higiene</w:t>
      </w:r>
      <w:r>
        <w:rPr>
          <w:rFonts w:ascii="Arial" w:hAnsi="Arial" w:cs="Arial"/>
          <w:color w:val="000000"/>
        </w:rPr>
        <w:t>: tomar banho e trocar de roupa após o uso do produto. Lavar as roupas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contaminadas separadamente, evitando contato com outros utensílios de uso pessoal.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9. </w:t>
      </w:r>
      <w:r>
        <w:rPr>
          <w:rFonts w:ascii="Arial,Bold" w:hAnsi="Arial,Bold" w:cs="Arial,Bold"/>
          <w:b/>
          <w:bCs/>
          <w:color w:val="000000"/>
        </w:rPr>
        <w:t>PROPRIEDADES FÍSICO-QUÍMICAS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Estado físico</w:t>
      </w:r>
      <w:r>
        <w:rPr>
          <w:rFonts w:ascii="Arial" w:hAnsi="Arial" w:cs="Arial"/>
          <w:color w:val="000000"/>
        </w:rPr>
        <w:t>: líquido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Cor</w:t>
      </w:r>
      <w:r>
        <w:rPr>
          <w:rFonts w:ascii="Arial" w:hAnsi="Arial" w:cs="Arial"/>
          <w:color w:val="000000"/>
        </w:rPr>
        <w:t>: amarelada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Odor</w:t>
      </w:r>
      <w:r>
        <w:rPr>
          <w:rFonts w:ascii="Arial" w:hAnsi="Arial" w:cs="Arial"/>
          <w:color w:val="000000"/>
        </w:rPr>
        <w:t>: característico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pH</w:t>
      </w:r>
      <w:r>
        <w:rPr>
          <w:rFonts w:ascii="Arial" w:hAnsi="Arial" w:cs="Arial"/>
          <w:color w:val="000000"/>
        </w:rPr>
        <w:t>: não determinado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Temperaturas específicas ou faixas de temperatura nas quais ocorrem mudanças de estado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físico: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Ponto de fusão</w:t>
      </w:r>
      <w:r>
        <w:rPr>
          <w:rFonts w:ascii="Arial" w:hAnsi="Arial" w:cs="Arial"/>
          <w:color w:val="000000"/>
        </w:rPr>
        <w:t>: não aplicável por tratar-se de um líquido.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Ponto de fulgor</w:t>
      </w:r>
      <w:r>
        <w:rPr>
          <w:rFonts w:ascii="Arial" w:hAnsi="Arial" w:cs="Arial"/>
          <w:color w:val="000000"/>
        </w:rPr>
        <w:t>: o produto é inflamável.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Limites de explosividade superior /inferior</w:t>
      </w:r>
      <w:r>
        <w:rPr>
          <w:rFonts w:ascii="Arial" w:hAnsi="Arial" w:cs="Arial"/>
          <w:color w:val="000000"/>
        </w:rPr>
        <w:t>: o produto não é explosivo.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Densidade</w:t>
      </w:r>
      <w:r>
        <w:rPr>
          <w:rFonts w:ascii="Arial" w:hAnsi="Arial" w:cs="Arial"/>
          <w:color w:val="000000"/>
        </w:rPr>
        <w:t>: não determinado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Solubilidade</w:t>
      </w:r>
      <w:r>
        <w:rPr>
          <w:rFonts w:ascii="Arial" w:hAnsi="Arial" w:cs="Arial"/>
          <w:color w:val="000000"/>
        </w:rPr>
        <w:t>: não determinado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Coeficiente de partição água/octanol</w:t>
      </w:r>
      <w:r>
        <w:rPr>
          <w:rFonts w:ascii="Arial" w:hAnsi="Arial" w:cs="Arial"/>
          <w:color w:val="000000"/>
        </w:rPr>
        <w:t>: não determinado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10. ESTABILIDADE E REATIVIDADE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Instabilidade</w:t>
      </w:r>
      <w:r>
        <w:rPr>
          <w:rFonts w:ascii="Arial" w:hAnsi="Arial" w:cs="Arial"/>
          <w:color w:val="000000"/>
        </w:rPr>
        <w:t>: o produto é estável à temperatura ambiente e ao ar, sob condições normais de uso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 armazenagem.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Reações perigosas</w:t>
      </w:r>
      <w:r>
        <w:rPr>
          <w:rFonts w:ascii="Arial" w:hAnsi="Arial" w:cs="Arial"/>
          <w:color w:val="000000"/>
        </w:rPr>
        <w:t>: não há reações perigosas conhecidas.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Produtos perigosos de decomposição</w:t>
      </w:r>
      <w:r>
        <w:rPr>
          <w:rFonts w:ascii="Arial" w:hAnsi="Arial" w:cs="Arial"/>
          <w:color w:val="000000"/>
        </w:rPr>
        <w:t>: a queima produz monóxido de carbono, dióxido de</w:t>
      </w:r>
      <w:r w:rsidR="00CB42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carbono, cloretos, fosfetos e outras substâncias orgânicas não identificáveis.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11. INFORMAÇÕES TOXICOLÓGICAS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aguda</w:t>
      </w:r>
      <w:r>
        <w:rPr>
          <w:rFonts w:ascii="Arial" w:hAnsi="Arial" w:cs="Arial"/>
          <w:color w:val="000000"/>
        </w:rPr>
        <w:t>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DL50 Oral em ratos</w:t>
      </w:r>
      <w:r>
        <w:rPr>
          <w:rFonts w:ascii="Arial" w:hAnsi="Arial" w:cs="Arial"/>
          <w:color w:val="000000"/>
        </w:rPr>
        <w:t>: 325 mg/kg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DL50 Dérmica em ratos</w:t>
      </w:r>
      <w:r>
        <w:rPr>
          <w:rFonts w:ascii="Arial" w:hAnsi="Arial" w:cs="Arial"/>
          <w:color w:val="000000"/>
        </w:rPr>
        <w:t>: 650 mg/kg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crônica</w:t>
      </w:r>
      <w:r>
        <w:rPr>
          <w:rFonts w:ascii="Arial" w:hAnsi="Arial" w:cs="Arial"/>
          <w:color w:val="000000"/>
        </w:rPr>
        <w:t>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lastRenderedPageBreak/>
        <w:t>Mutagenicidade</w:t>
      </w:r>
      <w:r>
        <w:rPr>
          <w:rFonts w:ascii="Arial" w:hAnsi="Arial" w:cs="Arial"/>
          <w:color w:val="000000"/>
        </w:rPr>
        <w:t>: o ingrediente ativo é considerado não mutagênico.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Carcinogenicidade</w:t>
      </w:r>
      <w:r>
        <w:rPr>
          <w:rFonts w:ascii="Arial" w:hAnsi="Arial" w:cs="Arial"/>
          <w:color w:val="000000"/>
        </w:rPr>
        <w:t>: o ingrediente ativo é considerado não carcinogênico para seres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humanos.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Teratogenicidade</w:t>
      </w:r>
      <w:r>
        <w:rPr>
          <w:rFonts w:ascii="Arial" w:hAnsi="Arial" w:cs="Arial"/>
          <w:color w:val="000000"/>
        </w:rPr>
        <w:t>: o ingrediente ativo é considerado não teratogênico para seres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humanos.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Efeitos na reprodução</w:t>
      </w:r>
      <w:r>
        <w:rPr>
          <w:rFonts w:ascii="Arial" w:hAnsi="Arial" w:cs="Arial"/>
          <w:color w:val="000000"/>
        </w:rPr>
        <w:t>: o ingrediente ativo é considerado sem efeitos reprodutivos para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seres humanos.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12. INFORMAÇÕES ECOLÓGICAS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Efeitos Ambientais, comportamentais e impactos do produto:</w:t>
      </w:r>
    </w:p>
    <w:p w:rsidR="00CB4203" w:rsidRP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Mobilidade</w:t>
      </w:r>
      <w:r>
        <w:rPr>
          <w:rFonts w:ascii="Arial" w:hAnsi="Arial" w:cs="Arial"/>
          <w:color w:val="000000"/>
        </w:rPr>
        <w:t>: o ingrediente ativo DDVP possui uma alta mobilidade no solo (HSDB, 2003).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Persistência/Degradabilidade</w:t>
      </w:r>
      <w:r>
        <w:rPr>
          <w:rFonts w:ascii="Arial" w:hAnsi="Arial" w:cs="Arial"/>
          <w:color w:val="000000"/>
        </w:rPr>
        <w:t>: vapores de DDVP são degradados na atmosfera por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reação fotoquímica produzida por radicais hidroxila; a meia vida para essa reação no ar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estimado em 13,6 horas. Diclorvós degrada-se no solo por hidrolise e biodegradação.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Fator de Bioconcentração (BCF) em carpas é &lt; 0,5 e a excreção do inseticida tem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uma meia vida de 0,6 horas (HSDB, 2003).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Ecotoxicidade: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CB42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Dados referentes ao ingrediente ativo DDVP</w:t>
      </w:r>
    </w:p>
    <w:p w:rsidR="00CB4203" w:rsidRDefault="00CB42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peixes (</w:t>
      </w:r>
      <w:r w:rsidRPr="00CB4203">
        <w:rPr>
          <w:rFonts w:ascii="Arial,Italic" w:hAnsi="Arial,Italic" w:cs="Arial,Italic"/>
          <w:b/>
          <w:i/>
          <w:iCs/>
          <w:color w:val="000000"/>
        </w:rPr>
        <w:t>Oncorhynchus mykiss</w:t>
      </w:r>
      <w:r w:rsidRPr="00CB420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>: CL50 (96h) 0,1 μg/L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microcrustáceos(</w:t>
      </w:r>
      <w:r w:rsidRPr="00CB4203">
        <w:rPr>
          <w:rFonts w:ascii="Arial,Italic" w:hAnsi="Arial,Italic" w:cs="Arial,Italic"/>
          <w:b/>
          <w:i/>
          <w:iCs/>
          <w:color w:val="000000"/>
        </w:rPr>
        <w:t>Daphnia magna</w:t>
      </w:r>
      <w:r w:rsidRPr="00CB420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>: CE50 (24h) 0,233μg/L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abelhas (</w:t>
      </w:r>
      <w:r w:rsidRPr="00CB4203">
        <w:rPr>
          <w:rFonts w:ascii="Arial,Italic" w:hAnsi="Arial,Italic" w:cs="Arial,Italic"/>
          <w:b/>
          <w:i/>
          <w:iCs/>
          <w:color w:val="000000"/>
        </w:rPr>
        <w:t>Apis melífera</w:t>
      </w:r>
      <w:r w:rsidRPr="00CB4203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>: DL50 (48h) 0,5 μg/abelha</w:t>
      </w: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Toxicidade para codorniz (</w:t>
      </w:r>
      <w:r w:rsidRPr="00CB4203">
        <w:rPr>
          <w:rFonts w:ascii="Arial,Italic" w:hAnsi="Arial,Italic" w:cs="Arial,Italic"/>
          <w:b/>
          <w:i/>
          <w:iCs/>
          <w:color w:val="000000"/>
        </w:rPr>
        <w:t>Coturnix japonica</w:t>
      </w:r>
      <w:r w:rsidRPr="00CB4203">
        <w:rPr>
          <w:rFonts w:ascii="Arial" w:hAnsi="Arial" w:cs="Arial"/>
          <w:b/>
          <w:color w:val="000000"/>
        </w:rPr>
        <w:t>):</w:t>
      </w:r>
      <w:r>
        <w:rPr>
          <w:rFonts w:ascii="Arial" w:hAnsi="Arial" w:cs="Arial"/>
          <w:color w:val="000000"/>
        </w:rPr>
        <w:t xml:space="preserve"> CL50 (8d) 298 ppm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13. CONSIDERAÇÕES SOBRE TRATAMENTO E DISPOSIÇÃO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Pr="00CB4203" w:rsidRDefault="00E9647A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B4203">
        <w:rPr>
          <w:rFonts w:ascii="Arial" w:hAnsi="Arial" w:cs="Arial"/>
          <w:b/>
          <w:color w:val="000000"/>
        </w:rPr>
        <w:t>Métodos de tratamento e disposição:</w:t>
      </w:r>
    </w:p>
    <w:p w:rsidR="00CB4203" w:rsidRDefault="00CB4203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Produto:</w:t>
      </w:r>
      <w:r>
        <w:rPr>
          <w:rFonts w:ascii="Arial" w:hAnsi="Arial" w:cs="Arial"/>
          <w:color w:val="000000"/>
        </w:rPr>
        <w:t xml:space="preserve"> desativar o produto através de incineração em fornos destinados para este tipo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operação, equipados com câmaras de lavagem de gases efluentes e aprovados por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órgão competente.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Restos de produtos</w:t>
      </w:r>
      <w:r>
        <w:rPr>
          <w:rFonts w:ascii="Arial" w:hAnsi="Arial" w:cs="Arial"/>
          <w:color w:val="000000"/>
        </w:rPr>
        <w:t>: manter as eventuais sobras dos produtos e ou com validade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vencida em suas embalagens originais adequadamente fechadas.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B4203">
        <w:rPr>
          <w:rFonts w:ascii="Arial" w:hAnsi="Arial" w:cs="Arial"/>
          <w:b/>
          <w:color w:val="000000"/>
        </w:rPr>
        <w:t>Embalagem usada</w:t>
      </w:r>
      <w:r>
        <w:rPr>
          <w:rFonts w:ascii="Arial" w:hAnsi="Arial" w:cs="Arial"/>
          <w:color w:val="000000"/>
        </w:rPr>
        <w:t>: as embalagens vazias deverão ser submetidas à tríplice lavagem e</w:t>
      </w:r>
    </w:p>
    <w:p w:rsidR="00E9647A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Poderão ser entregues nos órgãos ambientais das prefeituras das cidades, pois os mesmos possuem programas de coleta e reciclagem de embalagens domissanitárias.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Observe Legislação Estadual e Municipal específicas. Consulte o Órgão Estadual ou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Municipal de meio ambiente.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14. INFORMAÇÕES SOBRE TRANSPORTE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Pr="002558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55803">
        <w:rPr>
          <w:rFonts w:ascii="Arial" w:hAnsi="Arial" w:cs="Arial"/>
          <w:b/>
          <w:color w:val="000000"/>
        </w:rPr>
        <w:t>Regulamentações nacionais e internacionais: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Terrestres:</w:t>
      </w:r>
      <w:r>
        <w:rPr>
          <w:rFonts w:ascii="Arial" w:hAnsi="Arial" w:cs="Arial"/>
          <w:color w:val="000000"/>
        </w:rPr>
        <w:t xml:space="preserve"> Número ONU 3017 - Pesticida à base de organofosforado líquidos, tóxicos,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inflamáveis, N.E.com PFg igual ou superior a 23°C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Marítimo</w:t>
      </w:r>
      <w:r>
        <w:rPr>
          <w:rFonts w:ascii="Arial" w:hAnsi="Arial" w:cs="Arial"/>
          <w:color w:val="000000"/>
        </w:rPr>
        <w:t xml:space="preserve">: (IMO) Classe de Risco = 6.1, Substâncias Tóxicas </w:t>
      </w:r>
      <w:r w:rsidR="00255803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N</w:t>
      </w:r>
      <w:r w:rsidR="00255803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ONU = 3017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Aéreo:</w:t>
      </w:r>
      <w:r>
        <w:rPr>
          <w:rFonts w:ascii="Arial" w:hAnsi="Arial" w:cs="Arial"/>
          <w:color w:val="000000"/>
        </w:rPr>
        <w:t xml:space="preserve"> (ICAO/IATA) Classe de Risco = 6.1, Substâncias Tóxicas – N</w:t>
      </w:r>
      <w:r w:rsidR="00255803">
        <w:rPr>
          <w:rFonts w:ascii="Arial" w:hAnsi="Arial" w:cs="Arial"/>
          <w:color w:val="000000"/>
        </w:rPr>
        <w:t>º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</w:rPr>
        <w:t>ONU = 3017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47A" w:rsidRPr="002558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55803">
        <w:rPr>
          <w:rFonts w:ascii="Arial" w:hAnsi="Arial" w:cs="Arial"/>
          <w:b/>
          <w:color w:val="000000"/>
        </w:rPr>
        <w:t>Para produto classificado como perigoso para o transporte: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Número ONU</w:t>
      </w:r>
      <w:r>
        <w:rPr>
          <w:rFonts w:ascii="Arial" w:hAnsi="Arial" w:cs="Arial"/>
          <w:color w:val="000000"/>
        </w:rPr>
        <w:t>: 3017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Nome apropriado para embarque</w:t>
      </w:r>
      <w:r>
        <w:rPr>
          <w:rFonts w:ascii="Arial" w:hAnsi="Arial" w:cs="Arial"/>
          <w:color w:val="000000"/>
        </w:rPr>
        <w:t>: Pesticida à base de organofosforado líquidos, tóxicos,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inflamáveis, N.E.com PFg igual ou superior a 23°C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Classe de risco</w:t>
      </w:r>
      <w:r>
        <w:rPr>
          <w:rFonts w:ascii="Arial" w:hAnsi="Arial" w:cs="Arial"/>
          <w:color w:val="000000"/>
        </w:rPr>
        <w:t>: 6.1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Risco subsidiário</w:t>
      </w:r>
      <w:r>
        <w:rPr>
          <w:rFonts w:ascii="Arial" w:hAnsi="Arial" w:cs="Arial"/>
          <w:color w:val="000000"/>
        </w:rPr>
        <w:t>: 3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Número de risco</w:t>
      </w:r>
      <w:r>
        <w:rPr>
          <w:rFonts w:ascii="Arial" w:hAnsi="Arial" w:cs="Arial"/>
          <w:color w:val="000000"/>
        </w:rPr>
        <w:t>: 63</w:t>
      </w: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Grupo de embalagem</w:t>
      </w:r>
      <w:r>
        <w:rPr>
          <w:rFonts w:ascii="Arial" w:hAnsi="Arial" w:cs="Arial"/>
          <w:color w:val="000000"/>
        </w:rPr>
        <w:t>: III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15. REGULAMENTAÇÕES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55803">
        <w:rPr>
          <w:rFonts w:ascii="Arial" w:hAnsi="Arial" w:cs="Arial"/>
          <w:b/>
          <w:color w:val="000000"/>
        </w:rPr>
        <w:t>Regulamentações</w:t>
      </w:r>
      <w:r>
        <w:rPr>
          <w:rFonts w:ascii="Arial" w:hAnsi="Arial" w:cs="Arial"/>
          <w:color w:val="000000"/>
        </w:rPr>
        <w:t>:</w:t>
      </w:r>
    </w:p>
    <w:p w:rsidR="00E9647A" w:rsidRPr="00255803" w:rsidRDefault="00E9647A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Registrado no Ministério da </w:t>
      </w:r>
      <w:r w:rsidR="00255803">
        <w:rPr>
          <w:rFonts w:ascii="Arial" w:hAnsi="Arial" w:cs="Arial"/>
          <w:color w:val="000000"/>
        </w:rPr>
        <w:t>Saúde so</w:t>
      </w:r>
      <w:r>
        <w:rPr>
          <w:rFonts w:ascii="Arial" w:hAnsi="Arial" w:cs="Arial"/>
          <w:color w:val="000000"/>
        </w:rPr>
        <w:t xml:space="preserve">b </w:t>
      </w:r>
      <w:r w:rsidRPr="00255803">
        <w:rPr>
          <w:rFonts w:ascii="Arial" w:hAnsi="Arial" w:cs="Arial"/>
          <w:color w:val="000000"/>
        </w:rPr>
        <w:t>n</w:t>
      </w:r>
      <w:r w:rsidR="00255803" w:rsidRPr="00255803">
        <w:rPr>
          <w:rFonts w:ascii="Arial" w:hAnsi="Arial" w:cs="Arial"/>
          <w:color w:val="000000"/>
        </w:rPr>
        <w:t>º</w:t>
      </w:r>
      <w:r w:rsidR="001F5C0F">
        <w:rPr>
          <w:rFonts w:ascii="Arial" w:hAnsi="Arial" w:cs="Arial"/>
          <w:color w:val="000000"/>
        </w:rPr>
        <w:t xml:space="preserve"> 320680007</w:t>
      </w:r>
    </w:p>
    <w:p w:rsidR="00255803" w:rsidRDefault="00255803" w:rsidP="00D61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5C29" w:rsidRDefault="00A45C29" w:rsidP="00E96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E9647A" w:rsidRPr="00255803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55803">
        <w:rPr>
          <w:rFonts w:ascii="Arial" w:hAnsi="Arial" w:cs="Arial"/>
          <w:b/>
          <w:color w:val="000000"/>
        </w:rPr>
        <w:t>Informações sobre risco e segurança conforme escritas no rótulo:</w:t>
      </w: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Conservar o produto longe do alcance de crianças e animais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Não aplicar sobre alimentos e utensílios de cozinha, plantas e aquários.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Não fumar durante a aplicação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Em caso de intoxicação, procurar o Centro de Intoxicações ou Serviço de Saúde, levando a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embalagem do produto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Manter o produto na embalagem original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Não reutilizar as embalagens vazias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Em caso de contato direto com o produto, lavar a parte atingida com água e sabão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Em caso de contato com os olhos, lavar com água corrente em abundância</w:t>
      </w: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Embalagens vazias devem ser levadas até o local indicado para o recolhimento para ser feito o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descarte por incineração, normalmente o serviço é prestado pela Secretaria do Meio Ambiente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das Prefeituras Municipais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Pode ser fatal se ingerido. Em caso de ingestão não provocar o vômito</w:t>
      </w:r>
      <w:r w:rsidR="0025580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Não jogue no fogo ou no incinerador. Perigoso se aplicado próximo a chamas ou superfícies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aquecidas.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Pode ser fatal se ingerido. Em caso de ingestão não provocar o vômito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Durante a aplicação não devem permanecer no local pessoas ou animais</w:t>
      </w:r>
    </w:p>
    <w:p w:rsidR="00255803" w:rsidRDefault="00255803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F5C0F" w:rsidRDefault="001F5C0F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F5C0F" w:rsidRDefault="001F5C0F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1F5C0F" w:rsidRDefault="001F5C0F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16. OUTRAS INFORMAÇÕES</w:t>
      </w:r>
    </w:p>
    <w:p w:rsidR="00255803" w:rsidRDefault="00255803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Esta Ficha foi elaborada por </w:t>
      </w:r>
      <w:r w:rsidR="00255803">
        <w:rPr>
          <w:rFonts w:ascii="ArialMT" w:hAnsi="ArialMT" w:cs="ArialMT"/>
          <w:color w:val="0000FF"/>
        </w:rPr>
        <w:t>BIOCARB INDUSTRIA QUÍMICA LTDA.</w:t>
      </w:r>
      <w:r>
        <w:rPr>
          <w:rFonts w:ascii="Arial" w:hAnsi="Arial" w:cs="Arial"/>
          <w:color w:val="000000"/>
        </w:rPr>
        <w:t>. As informações desta FISPQ representam os dados atuais e refletem com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exatidão o nosso melhor conhecimento para o manuseio apropriado deste produto de acordo com</w:t>
      </w:r>
      <w:r w:rsidR="0025580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 w:rsidR="0025580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specificações constantes no rótulo e bula. Quaisquer outros usos do produto que não os</w:t>
      </w:r>
    </w:p>
    <w:p w:rsidR="00E9647A" w:rsidRDefault="00E9647A" w:rsidP="00A45C29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recomendados, serão de responsabilidade do usuário.</w:t>
      </w:r>
    </w:p>
    <w:p w:rsidR="008B2B1F" w:rsidRDefault="00E3039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3266440</wp:posOffset>
                </wp:positionV>
                <wp:extent cx="5867400" cy="681355"/>
                <wp:effectExtent l="1905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BE0" w:rsidRPr="00155108" w:rsidRDefault="00680BE0" w:rsidP="00A45C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Data da elaboração: Dezembro/2000                                                         Data da revisão 20/08/2007</w:t>
                            </w:r>
                          </w:p>
                          <w:p w:rsidR="00680BE0" w:rsidRPr="00155108" w:rsidRDefault="00680BE0" w:rsidP="00A45C2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51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de revisão: (01)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11.7pt;margin-top:257.2pt;width:462pt;height:53.6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EWgwIAABAFAAAOAAAAZHJzL2Uyb0RvYy54bWysVG1v2yAQ/j5p/wHxPbWd2klsxamadp4m&#10;dS9Sux9ADI7RMDAgsbtq/30HTtJ0L9I0zR8wcMfD3T3PsbwaOoH2zFiuZImTixgjJmtFudyW+PND&#10;NVlgZB2RlAglWYkfmcVXq9evlr0u2FS1SlBmEIBIW/S6xK1zuogiW7esI/ZCaSbB2CjTEQdLs42o&#10;IT2gdyKaxvEs6pWh2qiaWQu7t6MRrwJ+07DafWwayxwSJYbYXBhNGDd+jFZLUmwN0S2vD2GQf4ii&#10;I1zCpSeoW+II2hn+C1THa6OsatxFrbpINQ2vWcgBsknin7K5b4lmIRcojtWnMtn/B1t/2H8yiNMS&#10;X2IkSQcUPbDBobUaUJL78vTaFuB1r8HPDbAPNIdUrb5T9ReLpLppidyya2NU3zJCIbzEn4zOjo44&#10;1oNs+veKwj1k51QAGhrT+dpBNRCgA02PJ2p8LDVsZovZPI3BVINttkgusyxcQYrjaW2se8tUh/yk&#10;xAaoD+hkf2edj4YURxd/mVWC04oLERZmu7kRBu0JyKQK3wH9hZuQ3lkqf2xEHHcgSLjD23y4gfan&#10;PJmm8XqaT6rZYj5JqzSb5PN4MYmTfJ3P4jRPb6vvPsAkLVpOKZN3XLKjBJP07yg+NMMoniBC1Jc4&#10;z6bZSNEfk4zD97skO+6gIwXvSrw4OZHCE/tGUkibFI5wMc6jl+GHKkMNjv9QlSADz/yoATdsBkDx&#10;2tgo+giCMAr4AmrhGYFJq8w3jHpoyRLbrztiGEbinQRR5Uma+h4OizSbT2Fhzi2bcwuRNUCV2GE0&#10;Tm/c2Pc7bfi2hZuOMr4GIVY8aOQ5qoN8oe1CMocnwvf1+Tp4PT9kqx8AAAD//wMAUEsDBBQABgAI&#10;AAAAIQBk72zm4AAAAAsBAAAPAAAAZHJzL2Rvd25yZXYueG1sTI/BTsMwDIbvSLxDZCRuW9qyDShN&#10;p4mJCwckBhIcsyZtKhInSrKuvD3mBDdb/vT/n5vt7CybdEyjRwHlsgCmsfNqxEHA+9vT4g5YyhKV&#10;tB61gG+dYNteXjSyVv6Mr3o65IFRCKZaCjA5h5rz1BntZFr6oJFuvY9OZlrjwFWUZwp3lldFseFO&#10;jkgNRgb9aHT3dTg5AR/OjGofXz57Zaf9c79bhzkGIa6v5t0DsKzn/AfDrz6pQ0tOR39ClZgVsKhu&#10;VoQKWJcrGoi4pz5gRwGbqrwF3jb8/w/tDwAAAP//AwBQSwECLQAUAAYACAAAACEAtoM4kv4AAADh&#10;AQAAEwAAAAAAAAAAAAAAAAAAAAAAW0NvbnRlbnRfVHlwZXNdLnhtbFBLAQItABQABgAIAAAAIQA4&#10;/SH/1gAAAJQBAAALAAAAAAAAAAAAAAAAAC8BAABfcmVscy8ucmVsc1BLAQItABQABgAIAAAAIQDf&#10;dlEWgwIAABAFAAAOAAAAAAAAAAAAAAAAAC4CAABkcnMvZTJvRG9jLnhtbFBLAQItABQABgAIAAAA&#10;IQBk72zm4AAAAAsBAAAPAAAAAAAAAAAAAAAAAN0EAABkcnMvZG93bnJldi54bWxQSwUGAAAAAAQA&#10;BADzAAAA6gUAAAAA&#10;" stroked="f">
                <v:textbox style="mso-fit-shape-to-text:t">
                  <w:txbxContent>
                    <w:p w:rsidR="00680BE0" w:rsidRPr="00155108" w:rsidRDefault="00680BE0" w:rsidP="00A45C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108">
                        <w:rPr>
                          <w:rFonts w:ascii="Arial" w:hAnsi="Arial" w:cs="Arial"/>
                          <w:sz w:val="20"/>
                          <w:szCs w:val="20"/>
                        </w:rPr>
                        <w:t>Data da elaboração: Dezembro/2000                                                         Data da revisão 20/08/2007</w:t>
                      </w:r>
                    </w:p>
                    <w:p w:rsidR="00680BE0" w:rsidRPr="00155108" w:rsidRDefault="00680BE0" w:rsidP="00A45C2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5108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de revisão: (01)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B1F" w:rsidSect="00680BE0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4A" w:rsidRDefault="0083284A" w:rsidP="00680BE0">
      <w:pPr>
        <w:spacing w:after="0" w:line="240" w:lineRule="auto"/>
      </w:pPr>
      <w:r>
        <w:separator/>
      </w:r>
    </w:p>
  </w:endnote>
  <w:endnote w:type="continuationSeparator" w:id="0">
    <w:p w:rsidR="0083284A" w:rsidRDefault="0083284A" w:rsidP="0068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D52" w:rsidRDefault="00680BE0" w:rsidP="00164D52">
    <w:pPr>
      <w:rPr>
        <w:rFonts w:ascii="Arial" w:hAnsi="Arial" w:cs="Arial"/>
        <w:sz w:val="20"/>
        <w:szCs w:val="20"/>
      </w:rPr>
    </w:pPr>
    <w:r w:rsidRPr="00155108">
      <w:rPr>
        <w:rFonts w:ascii="Arial" w:hAnsi="Arial" w:cs="Arial"/>
        <w:sz w:val="20"/>
        <w:szCs w:val="20"/>
      </w:rPr>
      <w:t xml:space="preserve">Data da elaboração: Dezembro/2000                                                      Data da revisão </w:t>
    </w:r>
    <w:r w:rsidR="00164D52">
      <w:rPr>
        <w:rFonts w:ascii="Arial" w:hAnsi="Arial" w:cs="Arial"/>
        <w:sz w:val="20"/>
        <w:szCs w:val="20"/>
      </w:rPr>
      <w:t>17/06/2015</w:t>
    </w:r>
  </w:p>
  <w:p w:rsidR="00680BE0" w:rsidRPr="00155108" w:rsidRDefault="00164D52" w:rsidP="00680BE0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Número de revisão: (15</w:t>
    </w:r>
    <w:r w:rsidR="00680BE0" w:rsidRPr="00155108">
      <w:rPr>
        <w:rFonts w:ascii="Arial" w:hAnsi="Arial" w:cs="Arial"/>
        <w:sz w:val="20"/>
        <w:szCs w:val="20"/>
      </w:rPr>
      <w:t>)</w:t>
    </w:r>
  </w:p>
  <w:p w:rsidR="00680BE0" w:rsidRDefault="00680B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4A" w:rsidRDefault="0083284A" w:rsidP="00680BE0">
      <w:pPr>
        <w:spacing w:after="0" w:line="240" w:lineRule="auto"/>
      </w:pPr>
      <w:r>
        <w:separator/>
      </w:r>
    </w:p>
  </w:footnote>
  <w:footnote w:type="continuationSeparator" w:id="0">
    <w:p w:rsidR="0083284A" w:rsidRDefault="0083284A" w:rsidP="0068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BE0" w:rsidRDefault="00E30393" w:rsidP="00680BE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1663065</wp:posOffset>
              </wp:positionH>
              <wp:positionV relativeFrom="paragraph">
                <wp:posOffset>-205105</wp:posOffset>
              </wp:positionV>
              <wp:extent cx="2819400" cy="151003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51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BE0" w:rsidRPr="00571A7C" w:rsidRDefault="00680BE0" w:rsidP="00680BE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571A7C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FICHA DE IN</w:t>
                          </w:r>
                          <w: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FORMAÇÃO</w:t>
                          </w:r>
                          <w:r w:rsidRPr="00571A7C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E SEGURANÇA DE PRODUTOS QUÍMICOS – FISPQ.</w:t>
                          </w:r>
                        </w:p>
                        <w:p w:rsidR="00680BE0" w:rsidRPr="00571A7C" w:rsidRDefault="00680BE0" w:rsidP="00680BE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571A7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Produto:</w:t>
                          </w:r>
                          <w:r w:rsidRPr="00571A7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DDVP 500 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0.95pt;margin-top:-16.15pt;width:222pt;height:11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Y8hAIAABAFAAAOAAAAZHJzL2Uyb0RvYy54bWysVNtu3CAQfa/Uf0C8b3ypN1lb8Ua5dKtK&#10;6UVK+gEs4DUqZlxg106r/nsHnN1sepGqqn7AwAyHOXNmOL8YO0120joFpqbZSUqJNByEMpuafrpf&#10;zRaUOM+MYBqMrOmDdPRi+fLF+dBXMocWtJCWIIhx1dDXtPW+r5LE8VZ2zJ1ALw0aG7Ad87i0m0RY&#10;NiB6p5M8TU+TAazoLXDpHO7eTEa6jPhNI7n/0DROeqJrirH5ONo4rsOYLM9ZtbGsbxV/DIP9QxQd&#10;UwYvPUDdMM/I1qpfoDrFLTho/AmHLoGmUVxGDsgmS39ic9eyXkYumBzXH9Lk/h8sf7/7aIkSNc0p&#10;MaxDie7l6MkVjCQL2Rl6V6HTXY9ufsRtVDkydf0t8M+OGLhumdnIS2thaCUTGF08mRwdnXBcAFkP&#10;70DgNWzrIQKNje1C6jAZBNFRpYeDMiEUjpv5IiuLFE0cbdk8S9NXUbuEVfvjvXX+jYSOhElNLUof&#10;4dnu1nkkgq57l3CbA63ESmkdF3azvtaW7BiWySp+gTseeeamTXA2EI5N5mkHo8Q7gi3EG2X/VmZ5&#10;kV7l5Wx1ujibFatiPivP0sUszcqr8jQtyuJm9T0EmBVVq4SQ5lYZuS/BrPg7iR+bYSqeWIRkqGk5&#10;z+eTRn8kmcbvdyQ75bEjtepqujg4sSoo+9oIpM0qz5Se5snz8GPKMAf7f8xKrIMg/VQEflyPiBKK&#10;Yw3iASvCAuqF2uIzgpMW7FdKBmzJmrovW2YlJfqtwaoqs6IIPRwXxfwsx4U9tqyPLcxwhKqpp2Sa&#10;Xvup77e9VZsWb5rq2MAlVmKjYo08RYUUwgLbLpJ5fCJCXx+vo9fTQ7b8AQAA//8DAFBLAwQUAAYA&#10;CAAAACEA+aU5fN8AAAALAQAADwAAAGRycy9kb3ducmV2LnhtbEyPwU6DQBCG7ya+w2ZMvJh2KRWw&#10;lKVRE43X1j7AwG6BlJ0l7LbQt3c86XHm//LPN8Vutr24mtF3jhSslhEIQ7XTHTUKjt8fixcQPiBp&#10;7B0ZBTfjYVfe3xWYazfR3lwPoRFcQj5HBW0IQy6lr1tj0S/dYIizkxstBh7HRuoRJy63vYyjKJUW&#10;O+ILLQ7mvTX1+XCxCk5f01OymarPcMz2z+kbdlnlbko9PsyvWxDBzOEPhl99VoeSnSp3Ie1FryBO&#10;VxtGFSzW8RoEE1mU8KbiKEoSkGUh//9Q/gAAAP//AwBQSwECLQAUAAYACAAAACEAtoM4kv4AAADh&#10;AQAAEwAAAAAAAAAAAAAAAAAAAAAAW0NvbnRlbnRfVHlwZXNdLnhtbFBLAQItABQABgAIAAAAIQA4&#10;/SH/1gAAAJQBAAALAAAAAAAAAAAAAAAAAC8BAABfcmVscy8ucmVsc1BLAQItABQABgAIAAAAIQAM&#10;duY8hAIAABAFAAAOAAAAAAAAAAAAAAAAAC4CAABkcnMvZTJvRG9jLnhtbFBLAQItABQABgAIAAAA&#10;IQD5pTl83wAAAAsBAAAPAAAAAAAAAAAAAAAAAN4EAABkcnMvZG93bnJldi54bWxQSwUGAAAAAAQA&#10;BADzAAAA6gUAAAAA&#10;" stroked="f">
              <v:textbox>
                <w:txbxContent>
                  <w:p w:rsidR="00680BE0" w:rsidRPr="00571A7C" w:rsidRDefault="00680BE0" w:rsidP="00680BE0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FICHA DE IN</w:t>
                    </w:r>
                    <w: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FORMAÇÃO</w:t>
                    </w:r>
                    <w:r w:rsidRPr="00571A7C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E SEGURANÇA DE PRODUTOS QUÍMICOS – FISPQ.</w:t>
                    </w:r>
                  </w:p>
                  <w:p w:rsidR="00680BE0" w:rsidRPr="00571A7C" w:rsidRDefault="00680BE0" w:rsidP="00680BE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571A7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Produto:</w:t>
                    </w:r>
                    <w:r w:rsidRPr="00571A7C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DDVP 500 CE</w:t>
                    </w:r>
                  </w:p>
                </w:txbxContent>
              </v:textbox>
            </v:shape>
          </w:pict>
        </mc:Fallback>
      </mc:AlternateContent>
    </w:r>
    <w:r w:rsidR="00680BE0" w:rsidRPr="00680BE0">
      <w:rPr>
        <w:noProof/>
      </w:rPr>
      <w:drawing>
        <wp:inline distT="0" distB="0" distL="0" distR="0">
          <wp:extent cx="1552575" cy="1162050"/>
          <wp:effectExtent l="19050" t="0" r="9525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0BE0" w:rsidRPr="00680BE0">
      <w:t xml:space="preserve"> </w:t>
    </w:r>
    <w:sdt>
      <w:sdtPr>
        <w:id w:val="252094975"/>
        <w:docPartObj>
          <w:docPartGallery w:val="Page Numbers (Top of Page)"/>
          <w:docPartUnique/>
        </w:docPartObj>
      </w:sdtPr>
      <w:sdtEndPr/>
      <w:sdtContent>
        <w:r w:rsidR="00680BE0">
          <w:tab/>
        </w:r>
        <w:r w:rsidR="00680BE0">
          <w:tab/>
          <w:t xml:space="preserve">Página </w:t>
        </w:r>
        <w:r w:rsidR="006F257F">
          <w:rPr>
            <w:b/>
            <w:sz w:val="24"/>
            <w:szCs w:val="24"/>
          </w:rPr>
          <w:fldChar w:fldCharType="begin"/>
        </w:r>
        <w:r w:rsidR="00680BE0">
          <w:rPr>
            <w:b/>
          </w:rPr>
          <w:instrText>PAGE</w:instrText>
        </w:r>
        <w:r w:rsidR="006F257F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 w:rsidR="006F257F">
          <w:rPr>
            <w:b/>
            <w:sz w:val="24"/>
            <w:szCs w:val="24"/>
          </w:rPr>
          <w:fldChar w:fldCharType="end"/>
        </w:r>
        <w:r w:rsidR="00680BE0">
          <w:t xml:space="preserve"> de </w:t>
        </w:r>
        <w:r w:rsidR="006F257F">
          <w:rPr>
            <w:b/>
            <w:sz w:val="24"/>
            <w:szCs w:val="24"/>
          </w:rPr>
          <w:fldChar w:fldCharType="begin"/>
        </w:r>
        <w:r w:rsidR="00680BE0">
          <w:rPr>
            <w:b/>
          </w:rPr>
          <w:instrText>NUMPAGES</w:instrText>
        </w:r>
        <w:r w:rsidR="006F257F"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9</w:t>
        </w:r>
        <w:r w:rsidR="006F257F">
          <w:rPr>
            <w:b/>
            <w:sz w:val="24"/>
            <w:szCs w:val="24"/>
          </w:rPr>
          <w:fldChar w:fldCharType="end"/>
        </w:r>
      </w:sdtContent>
    </w:sdt>
  </w:p>
  <w:p w:rsidR="00680BE0" w:rsidRDefault="00680BE0" w:rsidP="00680BE0">
    <w:pPr>
      <w:pStyle w:val="Cabealho"/>
      <w:jc w:val="right"/>
    </w:pPr>
  </w:p>
  <w:p w:rsidR="00680BE0" w:rsidRDefault="00680B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7A"/>
    <w:rsid w:val="00164D52"/>
    <w:rsid w:val="001F5C0F"/>
    <w:rsid w:val="00255803"/>
    <w:rsid w:val="0032749B"/>
    <w:rsid w:val="003C09D2"/>
    <w:rsid w:val="003D3DB9"/>
    <w:rsid w:val="0047229A"/>
    <w:rsid w:val="004731D1"/>
    <w:rsid w:val="00494985"/>
    <w:rsid w:val="004B5295"/>
    <w:rsid w:val="00582512"/>
    <w:rsid w:val="006103BA"/>
    <w:rsid w:val="00680BE0"/>
    <w:rsid w:val="006F257F"/>
    <w:rsid w:val="007C6BDB"/>
    <w:rsid w:val="0083284A"/>
    <w:rsid w:val="00882B2D"/>
    <w:rsid w:val="008B2B1F"/>
    <w:rsid w:val="008B52FA"/>
    <w:rsid w:val="009E29AF"/>
    <w:rsid w:val="00A45C29"/>
    <w:rsid w:val="00BD18C8"/>
    <w:rsid w:val="00CB4203"/>
    <w:rsid w:val="00D61908"/>
    <w:rsid w:val="00D81404"/>
    <w:rsid w:val="00E30393"/>
    <w:rsid w:val="00E36A30"/>
    <w:rsid w:val="00E87A08"/>
    <w:rsid w:val="00E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4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8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9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0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BE0"/>
  </w:style>
  <w:style w:type="paragraph" w:styleId="Rodap">
    <w:name w:val="footer"/>
    <w:basedOn w:val="Normal"/>
    <w:link w:val="RodapChar"/>
    <w:uiPriority w:val="99"/>
    <w:unhideWhenUsed/>
    <w:rsid w:val="00680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40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81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9D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80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BE0"/>
  </w:style>
  <w:style w:type="paragraph" w:styleId="Rodap">
    <w:name w:val="footer"/>
    <w:basedOn w:val="Normal"/>
    <w:link w:val="RodapChar"/>
    <w:uiPriority w:val="99"/>
    <w:unhideWhenUsed/>
    <w:rsid w:val="00680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biocarb@biocarb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2503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Ana Lucia</cp:lastModifiedBy>
  <cp:revision>2</cp:revision>
  <dcterms:created xsi:type="dcterms:W3CDTF">2018-07-10T17:37:00Z</dcterms:created>
  <dcterms:modified xsi:type="dcterms:W3CDTF">2018-07-10T17:37:00Z</dcterms:modified>
</cp:coreProperties>
</file>