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EF" w:rsidRPr="002B26BC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2B26BC">
        <w:rPr>
          <w:rFonts w:ascii="Arial" w:hAnsi="Arial" w:cs="Arial"/>
          <w:b/>
          <w:color w:val="000000"/>
        </w:rPr>
        <w:t xml:space="preserve">1. IDENTIFICAÇÃO DO PRODUTO E DA EMPRESA </w:t>
      </w:r>
    </w:p>
    <w:p w:rsidR="00266CEF" w:rsidRPr="005D4E69" w:rsidRDefault="00266CEF" w:rsidP="00266CE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u w:val="single"/>
        </w:rPr>
      </w:pPr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b/>
          <w:color w:val="000000"/>
        </w:rPr>
        <w:t>Nome do Produto</w:t>
      </w:r>
      <w:r w:rsidRPr="00AC71EE">
        <w:rPr>
          <w:rFonts w:ascii="Arial" w:hAnsi="Arial" w:cs="Arial"/>
          <w:color w:val="000000"/>
        </w:rPr>
        <w:t>:</w:t>
      </w:r>
      <w:proofErr w:type="gramStart"/>
      <w:r w:rsidRPr="00AC71EE">
        <w:rPr>
          <w:rFonts w:ascii="Arial" w:hAnsi="Arial" w:cs="Arial"/>
          <w:color w:val="000000"/>
        </w:rPr>
        <w:t xml:space="preserve">  </w:t>
      </w:r>
      <w:proofErr w:type="gramEnd"/>
      <w:r w:rsidRPr="00AC71EE">
        <w:rPr>
          <w:rFonts w:ascii="Arial" w:hAnsi="Arial" w:cs="Arial"/>
          <w:color w:val="000000"/>
        </w:rPr>
        <w:t xml:space="preserve">Glifosato </w:t>
      </w:r>
      <w:r>
        <w:rPr>
          <w:rFonts w:ascii="Arial" w:hAnsi="Arial" w:cs="Arial"/>
          <w:color w:val="000000"/>
        </w:rPr>
        <w:t>C&amp;J 2%</w:t>
      </w:r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C71EE">
        <w:rPr>
          <w:rFonts w:ascii="Arial" w:hAnsi="Arial" w:cs="Arial"/>
          <w:b/>
          <w:color w:val="000000"/>
        </w:rPr>
        <w:t>Aplicação</w:t>
      </w:r>
      <w:r w:rsidRPr="00AC71EE">
        <w:rPr>
          <w:rFonts w:ascii="Arial" w:hAnsi="Arial" w:cs="Arial"/>
          <w:color w:val="000000"/>
        </w:rPr>
        <w:t>: Herbicida sistêmica</w:t>
      </w:r>
      <w:r>
        <w:rPr>
          <w:rFonts w:ascii="Arial" w:hAnsi="Arial" w:cs="Arial"/>
          <w:color w:val="000000"/>
        </w:rPr>
        <w:t xml:space="preserve"> </w:t>
      </w:r>
      <w:r w:rsidRPr="00AC71EE">
        <w:rPr>
          <w:rFonts w:ascii="Arial" w:hAnsi="Arial" w:cs="Arial"/>
          <w:b/>
          <w:color w:val="000000"/>
        </w:rPr>
        <w:t>Não agrícola.</w:t>
      </w:r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C71EE">
        <w:rPr>
          <w:rFonts w:ascii="Arial" w:hAnsi="Arial" w:cs="Arial"/>
          <w:b/>
          <w:color w:val="000000"/>
        </w:rPr>
        <w:t>Fabricante</w:t>
      </w:r>
      <w:r w:rsidRPr="00AC71EE">
        <w:rPr>
          <w:rFonts w:ascii="Arial" w:hAnsi="Arial" w:cs="Arial"/>
          <w:color w:val="000000"/>
        </w:rPr>
        <w:t>:</w:t>
      </w:r>
      <w:proofErr w:type="gramStart"/>
      <w:r w:rsidRPr="00AC71EE">
        <w:rPr>
          <w:rFonts w:ascii="Arial" w:hAnsi="Arial" w:cs="Arial"/>
          <w:color w:val="000000"/>
        </w:rPr>
        <w:t xml:space="preserve">  </w:t>
      </w:r>
      <w:proofErr w:type="spellStart"/>
      <w:proofErr w:type="gramEnd"/>
      <w:r w:rsidRPr="00AC71EE">
        <w:rPr>
          <w:rFonts w:ascii="Arial" w:hAnsi="Arial" w:cs="Arial"/>
          <w:color w:val="000000"/>
        </w:rPr>
        <w:t>Bio</w:t>
      </w:r>
      <w:proofErr w:type="spellEnd"/>
      <w:r w:rsidRPr="00AC71EE">
        <w:rPr>
          <w:rFonts w:ascii="Arial" w:hAnsi="Arial" w:cs="Arial"/>
          <w:color w:val="000000"/>
        </w:rPr>
        <w:t xml:space="preserve"> </w:t>
      </w:r>
      <w:proofErr w:type="spellStart"/>
      <w:r w:rsidRPr="00AC71EE">
        <w:rPr>
          <w:rFonts w:ascii="Arial" w:hAnsi="Arial" w:cs="Arial"/>
          <w:color w:val="000000"/>
        </w:rPr>
        <w:t>Carb</w:t>
      </w:r>
      <w:proofErr w:type="spellEnd"/>
      <w:r w:rsidRPr="00AC71EE">
        <w:rPr>
          <w:rFonts w:ascii="Arial" w:hAnsi="Arial" w:cs="Arial"/>
          <w:color w:val="000000"/>
        </w:rPr>
        <w:t xml:space="preserve"> Industria Química Ltda.</w:t>
      </w:r>
      <w:r w:rsidRPr="00AC71E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b/>
          <w:color w:val="000000"/>
        </w:rPr>
        <w:t>End.:</w:t>
      </w:r>
      <w:r w:rsidRPr="00AC71EE">
        <w:rPr>
          <w:rFonts w:ascii="Arial" w:hAnsi="Arial" w:cs="Arial"/>
          <w:color w:val="000000"/>
        </w:rPr>
        <w:t xml:space="preserve"> R, Luiz Valenza, 100 – Bairro </w:t>
      </w:r>
      <w:proofErr w:type="spellStart"/>
      <w:r w:rsidRPr="00AC71EE">
        <w:rPr>
          <w:rFonts w:ascii="Arial" w:hAnsi="Arial" w:cs="Arial"/>
          <w:color w:val="000000"/>
        </w:rPr>
        <w:t>Cic</w:t>
      </w:r>
      <w:proofErr w:type="spellEnd"/>
      <w:r w:rsidRPr="00AC71EE">
        <w:rPr>
          <w:rFonts w:ascii="Arial" w:hAnsi="Arial" w:cs="Arial"/>
          <w:color w:val="000000"/>
        </w:rPr>
        <w:t>.</w:t>
      </w:r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AC71EE">
        <w:rPr>
          <w:rFonts w:ascii="Arial" w:hAnsi="Arial" w:cs="Arial"/>
          <w:b/>
          <w:color w:val="000000"/>
        </w:rPr>
        <w:t>Cep</w:t>
      </w:r>
      <w:proofErr w:type="spellEnd"/>
      <w:r w:rsidRPr="00AC71EE">
        <w:rPr>
          <w:rFonts w:ascii="Arial" w:hAnsi="Arial" w:cs="Arial"/>
          <w:color w:val="000000"/>
        </w:rPr>
        <w:t>: 81350-080</w:t>
      </w:r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 xml:space="preserve"> </w:t>
      </w:r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 xml:space="preserve">E-mail: </w:t>
      </w:r>
      <w:hyperlink r:id="rId8" w:history="1">
        <w:r w:rsidRPr="00AC71EE">
          <w:rPr>
            <w:rStyle w:val="Hyperlink"/>
            <w:rFonts w:ascii="Arial" w:hAnsi="Arial" w:cs="Arial"/>
          </w:rPr>
          <w:t>biocarb@biocarb.com.br</w:t>
        </w:r>
      </w:hyperlink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>Fone:</w:t>
      </w:r>
      <w:proofErr w:type="gramStart"/>
      <w:r w:rsidRPr="00AC71EE">
        <w:rPr>
          <w:rFonts w:ascii="Arial" w:hAnsi="Arial" w:cs="Arial"/>
          <w:color w:val="000000"/>
        </w:rPr>
        <w:t xml:space="preserve">  </w:t>
      </w:r>
      <w:proofErr w:type="gramEnd"/>
      <w:r w:rsidRPr="00AC71EE">
        <w:rPr>
          <w:rFonts w:ascii="Arial" w:hAnsi="Arial" w:cs="Arial"/>
          <w:color w:val="000000"/>
        </w:rPr>
        <w:t>(XX41)3074-8080</w:t>
      </w:r>
    </w:p>
    <w:p w:rsidR="00266CEF" w:rsidRPr="00AC71EE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>Telefone de emergência:</w:t>
      </w:r>
      <w:proofErr w:type="gramStart"/>
      <w:r w:rsidRPr="00AC71EE">
        <w:rPr>
          <w:rFonts w:ascii="Arial" w:hAnsi="Arial" w:cs="Arial"/>
          <w:color w:val="000000"/>
        </w:rPr>
        <w:t xml:space="preserve">  </w:t>
      </w:r>
      <w:proofErr w:type="gramEnd"/>
      <w:r w:rsidRPr="00AC71EE">
        <w:rPr>
          <w:rFonts w:ascii="Arial" w:hAnsi="Arial" w:cs="Arial"/>
          <w:color w:val="000000"/>
        </w:rPr>
        <w:t>(XX41) 3074-8080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F1A17"/>
          <w:sz w:val="16"/>
          <w:szCs w:val="16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b/>
          <w:bCs/>
          <w:color w:val="1F1A17"/>
        </w:rPr>
        <w:t>2. COMPOSIÇÃ0 E INFORMAÇÕES</w:t>
      </w:r>
      <w:r>
        <w:rPr>
          <w:rFonts w:ascii="Arial" w:hAnsi="Arial" w:cs="Arial"/>
          <w:b/>
          <w:bCs/>
          <w:color w:val="1F1A17"/>
        </w:rPr>
        <w:t xml:space="preserve"> </w:t>
      </w:r>
      <w:r w:rsidRPr="003619C5">
        <w:rPr>
          <w:rFonts w:ascii="Arial" w:hAnsi="Arial" w:cs="Arial"/>
          <w:b/>
          <w:bCs/>
          <w:color w:val="1F1A17"/>
        </w:rPr>
        <w:t>SOBRE OS INGREDIENTES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b/>
          <w:bCs/>
          <w:color w:val="1F1A17"/>
        </w:rPr>
        <w:t xml:space="preserve">Nome Químico: </w:t>
      </w:r>
      <w:r w:rsidRPr="003619C5">
        <w:rPr>
          <w:rFonts w:ascii="Arial" w:hAnsi="Arial" w:cs="Arial"/>
          <w:color w:val="1F1A17"/>
        </w:rPr>
        <w:t xml:space="preserve">Sal </w:t>
      </w:r>
      <w:proofErr w:type="spellStart"/>
      <w:r w:rsidRPr="003619C5">
        <w:rPr>
          <w:rFonts w:ascii="Arial" w:hAnsi="Arial" w:cs="Arial"/>
          <w:color w:val="1F1A17"/>
        </w:rPr>
        <w:t>isopropilamina</w:t>
      </w:r>
      <w:proofErr w:type="spellEnd"/>
      <w:r w:rsidRPr="003619C5">
        <w:rPr>
          <w:rFonts w:ascii="Arial" w:hAnsi="Arial" w:cs="Arial"/>
          <w:color w:val="1F1A17"/>
        </w:rPr>
        <w:t xml:space="preserve"> de N-(</w:t>
      </w:r>
      <w:proofErr w:type="spellStart"/>
      <w:r w:rsidRPr="003619C5">
        <w:rPr>
          <w:rFonts w:ascii="Arial" w:hAnsi="Arial" w:cs="Arial"/>
          <w:color w:val="1F1A17"/>
        </w:rPr>
        <w:t>fosfonometil</w:t>
      </w:r>
      <w:proofErr w:type="spellEnd"/>
      <w:r w:rsidRPr="003619C5">
        <w:rPr>
          <w:rFonts w:ascii="Arial" w:hAnsi="Arial" w:cs="Arial"/>
          <w:color w:val="1F1A17"/>
        </w:rPr>
        <w:t>) glicina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b/>
          <w:bCs/>
          <w:color w:val="1F1A17"/>
        </w:rPr>
        <w:t xml:space="preserve">Sinonímia: </w:t>
      </w:r>
      <w:r w:rsidRPr="003619C5">
        <w:rPr>
          <w:rFonts w:ascii="Arial" w:hAnsi="Arial" w:cs="Arial"/>
          <w:color w:val="1F1A17"/>
        </w:rPr>
        <w:t>Glifosato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b/>
          <w:bCs/>
          <w:color w:val="1F1A17"/>
        </w:rPr>
        <w:t xml:space="preserve">Natureza química: </w:t>
      </w:r>
      <w:r w:rsidRPr="003619C5">
        <w:rPr>
          <w:rFonts w:ascii="Arial" w:hAnsi="Arial" w:cs="Arial"/>
          <w:color w:val="1F1A17"/>
        </w:rPr>
        <w:t xml:space="preserve">Herbicida do Grupo Químico </w:t>
      </w:r>
      <w:r>
        <w:rPr>
          <w:rFonts w:ascii="Arial" w:hAnsi="Arial" w:cs="Arial"/>
          <w:color w:val="1F1A17"/>
        </w:rPr>
        <w:t>–</w:t>
      </w:r>
      <w:r w:rsidRPr="003619C5">
        <w:rPr>
          <w:rFonts w:ascii="Arial" w:hAnsi="Arial" w:cs="Arial"/>
          <w:color w:val="1F1A17"/>
        </w:rPr>
        <w:t xml:space="preserve"> Glicina</w:t>
      </w:r>
      <w:r>
        <w:rPr>
          <w:rFonts w:ascii="Arial" w:hAnsi="Arial" w:cs="Arial"/>
          <w:color w:val="1F1A17"/>
        </w:rPr>
        <w:t xml:space="preserve"> </w:t>
      </w:r>
      <w:proofErr w:type="spellStart"/>
      <w:r w:rsidRPr="003619C5">
        <w:rPr>
          <w:rFonts w:ascii="Arial" w:hAnsi="Arial" w:cs="Arial"/>
          <w:color w:val="1F1A17"/>
        </w:rPr>
        <w:t>Substituida</w:t>
      </w:r>
      <w:proofErr w:type="spellEnd"/>
      <w:r w:rsidRPr="003619C5">
        <w:rPr>
          <w:rFonts w:ascii="Arial" w:hAnsi="Arial" w:cs="Arial"/>
          <w:color w:val="1F1A17"/>
        </w:rPr>
        <w:t>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b/>
          <w:bCs/>
          <w:color w:val="1F1A17"/>
        </w:rPr>
        <w:t xml:space="preserve">Tipo de formulação: </w:t>
      </w:r>
      <w:r w:rsidRPr="003619C5">
        <w:rPr>
          <w:rFonts w:ascii="Arial" w:hAnsi="Arial" w:cs="Arial"/>
          <w:color w:val="1F1A17"/>
        </w:rPr>
        <w:t>Concentrado solúvel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b/>
          <w:bCs/>
          <w:color w:val="1F1A17"/>
        </w:rPr>
        <w:t xml:space="preserve">Registro no </w:t>
      </w:r>
      <w:proofErr w:type="spellStart"/>
      <w:r w:rsidRPr="003619C5">
        <w:rPr>
          <w:rFonts w:ascii="Arial" w:hAnsi="Arial" w:cs="Arial"/>
          <w:b/>
          <w:bCs/>
          <w:i/>
          <w:iCs/>
          <w:color w:val="1F1A17"/>
        </w:rPr>
        <w:t>Chemical</w:t>
      </w:r>
      <w:proofErr w:type="spellEnd"/>
      <w:r w:rsidRPr="003619C5">
        <w:rPr>
          <w:rFonts w:ascii="Arial" w:hAnsi="Arial" w:cs="Arial"/>
          <w:b/>
          <w:bCs/>
          <w:i/>
          <w:iCs/>
          <w:color w:val="1F1A17"/>
        </w:rPr>
        <w:t xml:space="preserve"> Abstract Service - </w:t>
      </w:r>
      <w:r w:rsidRPr="003619C5">
        <w:rPr>
          <w:rFonts w:ascii="Arial" w:hAnsi="Arial" w:cs="Arial"/>
          <w:b/>
          <w:bCs/>
          <w:color w:val="1F1A17"/>
        </w:rPr>
        <w:t xml:space="preserve">CAS : </w:t>
      </w:r>
      <w:r w:rsidRPr="003619C5">
        <w:rPr>
          <w:rFonts w:ascii="Arial" w:hAnsi="Arial" w:cs="Arial"/>
          <w:color w:val="1F1A17"/>
        </w:rPr>
        <w:t>38641-94-0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b/>
          <w:bCs/>
          <w:color w:val="1F1A17"/>
        </w:rPr>
        <w:t xml:space="preserve">Peso molecular: </w:t>
      </w:r>
      <w:r w:rsidRPr="003619C5">
        <w:rPr>
          <w:rFonts w:ascii="Arial" w:hAnsi="Arial" w:cs="Arial"/>
          <w:color w:val="1F1A17"/>
        </w:rPr>
        <w:t>228,2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b/>
          <w:bCs/>
          <w:color w:val="1F1A17"/>
        </w:rPr>
        <w:t xml:space="preserve">Fórmula Bruta: </w:t>
      </w:r>
      <w:r w:rsidRPr="003619C5">
        <w:rPr>
          <w:rFonts w:ascii="Arial" w:hAnsi="Arial" w:cs="Arial"/>
          <w:color w:val="1F1A17"/>
        </w:rPr>
        <w:t>C</w:t>
      </w:r>
      <w:r>
        <w:rPr>
          <w:rFonts w:ascii="Arial" w:hAnsi="Arial" w:cs="Arial"/>
          <w:color w:val="1F1A17"/>
          <w:vertAlign w:val="subscript"/>
        </w:rPr>
        <w:t>8</w:t>
      </w:r>
      <w:r w:rsidRPr="003619C5">
        <w:rPr>
          <w:rFonts w:ascii="Arial" w:hAnsi="Arial" w:cs="Arial"/>
          <w:color w:val="1F1A17"/>
        </w:rPr>
        <w:t xml:space="preserve"> H</w:t>
      </w:r>
      <w:r>
        <w:rPr>
          <w:rFonts w:ascii="Arial" w:hAnsi="Arial" w:cs="Arial"/>
          <w:color w:val="1F1A17"/>
          <w:vertAlign w:val="subscript"/>
        </w:rPr>
        <w:t>17</w:t>
      </w:r>
      <w:r w:rsidRPr="003619C5">
        <w:rPr>
          <w:rFonts w:ascii="Arial" w:hAnsi="Arial" w:cs="Arial"/>
          <w:color w:val="1F1A17"/>
        </w:rPr>
        <w:t xml:space="preserve"> N</w:t>
      </w:r>
      <w:r>
        <w:rPr>
          <w:rFonts w:ascii="Arial" w:hAnsi="Arial" w:cs="Arial"/>
          <w:color w:val="1F1A17"/>
          <w:vertAlign w:val="subscript"/>
        </w:rPr>
        <w:t>2</w:t>
      </w:r>
      <w:r w:rsidRPr="003619C5">
        <w:rPr>
          <w:rFonts w:ascii="Arial" w:hAnsi="Arial" w:cs="Arial"/>
          <w:color w:val="1F1A17"/>
        </w:rPr>
        <w:t xml:space="preserve"> O</w:t>
      </w:r>
      <w:r>
        <w:rPr>
          <w:rFonts w:ascii="Arial" w:hAnsi="Arial" w:cs="Arial"/>
          <w:color w:val="1F1A17"/>
          <w:vertAlign w:val="subscript"/>
        </w:rPr>
        <w:t>5</w:t>
      </w:r>
      <w:r w:rsidRPr="003619C5">
        <w:rPr>
          <w:rFonts w:ascii="Arial" w:hAnsi="Arial" w:cs="Arial"/>
          <w:color w:val="1F1A17"/>
        </w:rPr>
        <w:t xml:space="preserve"> P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  <w:r w:rsidRPr="003619C5">
        <w:rPr>
          <w:rFonts w:ascii="Arial" w:hAnsi="Arial" w:cs="Arial"/>
          <w:b/>
          <w:bCs/>
          <w:color w:val="1F1A17"/>
        </w:rPr>
        <w:t>Ingredientes que contribuem para o perigo: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1795"/>
        <w:gridCol w:w="1796"/>
        <w:gridCol w:w="1796"/>
        <w:gridCol w:w="1796"/>
      </w:tblGrid>
      <w:tr w:rsidR="00266CEF" w:rsidRPr="004F53D9" w:rsidTr="00A5082C">
        <w:tc>
          <w:tcPr>
            <w:tcW w:w="1687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A17"/>
              </w:rPr>
            </w:pPr>
            <w:r>
              <w:rPr>
                <w:rFonts w:ascii="Arial" w:hAnsi="Arial" w:cs="Arial"/>
                <w:bCs/>
                <w:color w:val="1F1A17"/>
              </w:rPr>
              <w:t>Nome químico</w:t>
            </w:r>
          </w:p>
        </w:tc>
        <w:tc>
          <w:tcPr>
            <w:tcW w:w="1795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A17"/>
              </w:rPr>
            </w:pPr>
            <w:proofErr w:type="spellStart"/>
            <w:r>
              <w:rPr>
                <w:rFonts w:ascii="Arial" w:hAnsi="Arial" w:cs="Arial"/>
                <w:bCs/>
                <w:color w:val="1F1A17"/>
              </w:rPr>
              <w:t>Cas</w:t>
            </w:r>
            <w:proofErr w:type="spellEnd"/>
          </w:p>
        </w:tc>
        <w:tc>
          <w:tcPr>
            <w:tcW w:w="1796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A17"/>
              </w:rPr>
            </w:pPr>
            <w:r>
              <w:rPr>
                <w:rFonts w:ascii="Arial" w:hAnsi="Arial" w:cs="Arial"/>
                <w:bCs/>
                <w:color w:val="1F1A17"/>
              </w:rPr>
              <w:t xml:space="preserve">Concentração </w:t>
            </w:r>
          </w:p>
        </w:tc>
        <w:tc>
          <w:tcPr>
            <w:tcW w:w="1796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A17"/>
              </w:rPr>
            </w:pPr>
            <w:r>
              <w:rPr>
                <w:rFonts w:ascii="Arial" w:hAnsi="Arial" w:cs="Arial"/>
                <w:bCs/>
                <w:color w:val="1F1A17"/>
              </w:rPr>
              <w:t>Operação</w:t>
            </w:r>
          </w:p>
        </w:tc>
        <w:tc>
          <w:tcPr>
            <w:tcW w:w="1796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A17"/>
              </w:rPr>
            </w:pPr>
            <w:proofErr w:type="spellStart"/>
            <w:r>
              <w:rPr>
                <w:rFonts w:ascii="Arial" w:hAnsi="Arial" w:cs="Arial"/>
                <w:bCs/>
                <w:color w:val="1F1A17"/>
              </w:rPr>
              <w:t>Limit</w:t>
            </w:r>
            <w:proofErr w:type="spellEnd"/>
            <w:r>
              <w:rPr>
                <w:rFonts w:ascii="Arial" w:hAnsi="Arial" w:cs="Arial"/>
                <w:bCs/>
                <w:color w:val="1F1A17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1F1A17"/>
              </w:rPr>
              <w:t>Toleranc</w:t>
            </w:r>
            <w:proofErr w:type="spellEnd"/>
            <w:r>
              <w:rPr>
                <w:rFonts w:ascii="Arial" w:hAnsi="Arial" w:cs="Arial"/>
                <w:bCs/>
                <w:color w:val="1F1A17"/>
              </w:rPr>
              <w:t>.</w:t>
            </w:r>
          </w:p>
        </w:tc>
      </w:tr>
      <w:tr w:rsidR="00266CEF" w:rsidRPr="004F53D9" w:rsidTr="00A5082C">
        <w:tc>
          <w:tcPr>
            <w:tcW w:w="1687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1A17"/>
              </w:rPr>
            </w:pPr>
            <w:r>
              <w:rPr>
                <w:rFonts w:ascii="Arial" w:hAnsi="Arial" w:cs="Arial"/>
                <w:bCs/>
                <w:color w:val="1F1A17"/>
              </w:rPr>
              <w:t>Glifosato</w:t>
            </w:r>
          </w:p>
        </w:tc>
        <w:tc>
          <w:tcPr>
            <w:tcW w:w="1795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1A17"/>
              </w:rPr>
            </w:pPr>
            <w:r>
              <w:rPr>
                <w:rFonts w:ascii="Arial" w:hAnsi="Arial" w:cs="Arial"/>
                <w:bCs/>
                <w:color w:val="1F1A17"/>
              </w:rPr>
              <w:t>38641-94-0</w:t>
            </w:r>
          </w:p>
        </w:tc>
        <w:tc>
          <w:tcPr>
            <w:tcW w:w="1796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1A17"/>
              </w:rPr>
            </w:pPr>
            <w:r>
              <w:rPr>
                <w:rFonts w:ascii="Arial" w:hAnsi="Arial" w:cs="Arial"/>
                <w:bCs/>
                <w:color w:val="1F1A17"/>
              </w:rPr>
              <w:t>2%</w:t>
            </w:r>
          </w:p>
        </w:tc>
        <w:tc>
          <w:tcPr>
            <w:tcW w:w="1796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1A17"/>
              </w:rPr>
            </w:pPr>
            <w:r>
              <w:rPr>
                <w:rFonts w:ascii="Arial" w:hAnsi="Arial" w:cs="Arial"/>
                <w:bCs/>
                <w:color w:val="1F1A17"/>
              </w:rPr>
              <w:t>XXXXX</w:t>
            </w:r>
          </w:p>
        </w:tc>
        <w:tc>
          <w:tcPr>
            <w:tcW w:w="1796" w:type="dxa"/>
          </w:tcPr>
          <w:p w:rsidR="00266CEF" w:rsidRPr="004F53D9" w:rsidRDefault="00266CEF" w:rsidP="00A50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1A17"/>
              </w:rPr>
            </w:pPr>
            <w:r>
              <w:rPr>
                <w:rFonts w:ascii="Arial" w:hAnsi="Arial" w:cs="Arial"/>
                <w:bCs/>
                <w:color w:val="1F1A17"/>
              </w:rPr>
              <w:t>+-5%</w:t>
            </w:r>
          </w:p>
        </w:tc>
      </w:tr>
    </w:tbl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F1A17"/>
          <w:sz w:val="16"/>
          <w:szCs w:val="16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  <w:r w:rsidRPr="003619C5">
        <w:rPr>
          <w:rFonts w:ascii="Arial" w:hAnsi="Arial" w:cs="Arial"/>
          <w:b/>
          <w:bCs/>
          <w:color w:val="1F1A17"/>
        </w:rPr>
        <w:t>3. IDENTIFICAÇÃO DO PERIGO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AC71EE">
        <w:rPr>
          <w:rFonts w:ascii="Arial" w:hAnsi="Arial" w:cs="Arial"/>
          <w:b/>
          <w:color w:val="1F1A17"/>
        </w:rPr>
        <w:t xml:space="preserve"> Ingestão</w:t>
      </w:r>
      <w:r w:rsidRPr="003619C5">
        <w:rPr>
          <w:rFonts w:ascii="Arial" w:hAnsi="Arial" w:cs="Arial"/>
          <w:color w:val="1F1A17"/>
        </w:rPr>
        <w:t>: Pode causar danos hepáticos e renais, quando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ingerido em doses altas.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AC71EE">
        <w:rPr>
          <w:rFonts w:ascii="Arial" w:hAnsi="Arial" w:cs="Arial"/>
          <w:b/>
          <w:color w:val="1F1A17"/>
        </w:rPr>
        <w:t xml:space="preserve"> Inalação</w:t>
      </w:r>
      <w:r w:rsidRPr="003619C5">
        <w:rPr>
          <w:rFonts w:ascii="Arial" w:hAnsi="Arial" w:cs="Arial"/>
          <w:color w:val="1F1A17"/>
        </w:rPr>
        <w:t>: pode causar irritação respiratória.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AC71EE">
        <w:rPr>
          <w:rFonts w:ascii="Arial" w:hAnsi="Arial" w:cs="Arial"/>
          <w:b/>
          <w:color w:val="1F1A17"/>
        </w:rPr>
        <w:t>Contato com a pele</w:t>
      </w:r>
      <w:r w:rsidRPr="003619C5">
        <w:rPr>
          <w:rFonts w:ascii="Arial" w:hAnsi="Arial" w:cs="Arial"/>
          <w:color w:val="1F1A17"/>
        </w:rPr>
        <w:t>: pode causar irritação cutânea leve.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 </w:t>
      </w:r>
      <w:r w:rsidRPr="00AC71EE">
        <w:rPr>
          <w:rFonts w:ascii="Arial" w:hAnsi="Arial" w:cs="Arial"/>
          <w:b/>
          <w:color w:val="1F1A17"/>
        </w:rPr>
        <w:t>Contatos com os olhos</w:t>
      </w:r>
      <w:r w:rsidRPr="003619C5">
        <w:rPr>
          <w:rFonts w:ascii="Arial" w:hAnsi="Arial" w:cs="Arial"/>
          <w:color w:val="1F1A17"/>
        </w:rPr>
        <w:t>: Pode causar irritação ocular 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266CEF" w:rsidRPr="003619C5" w:rsidRDefault="005D6468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  <w:r>
        <w:rPr>
          <w:rFonts w:ascii="Arial" w:hAnsi="Arial" w:cs="Arial"/>
          <w:b/>
          <w:bCs/>
          <w:color w:val="1F1A17"/>
        </w:rPr>
        <w:t>R</w:t>
      </w:r>
      <w:r w:rsidR="00266CEF" w:rsidRPr="003619C5">
        <w:rPr>
          <w:rFonts w:ascii="Arial" w:hAnsi="Arial" w:cs="Arial"/>
          <w:b/>
          <w:bCs/>
          <w:color w:val="1F1A17"/>
        </w:rPr>
        <w:t>ISCOS À SAUDE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FC52D9">
        <w:rPr>
          <w:rFonts w:ascii="Arial" w:hAnsi="Arial" w:cs="Arial"/>
          <w:b/>
          <w:color w:val="1F1A17"/>
        </w:rPr>
        <w:t>Efeitos Agudos e Crônicos:</w:t>
      </w:r>
      <w:r w:rsidRPr="003619C5">
        <w:rPr>
          <w:rFonts w:ascii="Arial" w:hAnsi="Arial" w:cs="Arial"/>
          <w:color w:val="1F1A17"/>
        </w:rPr>
        <w:t xml:space="preserve"> Dermatite de contato; 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proofErr w:type="spellStart"/>
      <w:r w:rsidRPr="00FC52D9">
        <w:rPr>
          <w:rFonts w:ascii="Arial" w:hAnsi="Arial" w:cs="Arial"/>
          <w:b/>
          <w:color w:val="1F1A17"/>
        </w:rPr>
        <w:t>Sindrome</w:t>
      </w:r>
      <w:proofErr w:type="spellEnd"/>
      <w:r w:rsidRPr="00FC52D9">
        <w:rPr>
          <w:rFonts w:ascii="Arial" w:hAnsi="Arial" w:cs="Arial"/>
          <w:b/>
          <w:color w:val="1F1A17"/>
        </w:rPr>
        <w:t xml:space="preserve"> tóxica após a ingestão de doses altas</w:t>
      </w:r>
      <w:r w:rsidRPr="003619C5">
        <w:rPr>
          <w:rFonts w:ascii="Arial" w:hAnsi="Arial" w:cs="Arial"/>
          <w:color w:val="1F1A17"/>
        </w:rPr>
        <w:t xml:space="preserve">: </w:t>
      </w:r>
      <w:proofErr w:type="spellStart"/>
      <w:r w:rsidRPr="003619C5">
        <w:rPr>
          <w:rFonts w:ascii="Arial" w:hAnsi="Arial" w:cs="Arial"/>
          <w:color w:val="1F1A17"/>
        </w:rPr>
        <w:t>epigastralgia</w:t>
      </w:r>
      <w:proofErr w:type="spellEnd"/>
      <w:r w:rsidRPr="003619C5">
        <w:rPr>
          <w:rFonts w:ascii="Arial" w:hAnsi="Arial" w:cs="Arial"/>
          <w:color w:val="1F1A17"/>
        </w:rPr>
        <w:t>, ulceração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ou lesão de mucosa gástrica, hipertermia, </w:t>
      </w:r>
      <w:proofErr w:type="spellStart"/>
      <w:r w:rsidRPr="003619C5">
        <w:rPr>
          <w:rFonts w:ascii="Arial" w:hAnsi="Arial" w:cs="Arial"/>
          <w:color w:val="1F1A17"/>
        </w:rPr>
        <w:t>anúria</w:t>
      </w:r>
      <w:proofErr w:type="spellEnd"/>
      <w:r w:rsidRPr="003619C5">
        <w:rPr>
          <w:rFonts w:ascii="Arial" w:hAnsi="Arial" w:cs="Arial"/>
          <w:color w:val="1F1A17"/>
        </w:rPr>
        <w:t xml:space="preserve">, </w:t>
      </w:r>
      <w:proofErr w:type="spellStart"/>
      <w:r w:rsidRPr="003619C5">
        <w:rPr>
          <w:rFonts w:ascii="Arial" w:hAnsi="Arial" w:cs="Arial"/>
          <w:color w:val="1F1A17"/>
        </w:rPr>
        <w:t>oligúria</w:t>
      </w:r>
      <w:proofErr w:type="spellEnd"/>
      <w:r w:rsidRPr="003619C5">
        <w:rPr>
          <w:rFonts w:ascii="Arial" w:hAnsi="Arial" w:cs="Arial"/>
          <w:color w:val="1F1A17"/>
        </w:rPr>
        <w:t>,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hipotensão, conjuntivite, edema orbital, choque cardiogênico,</w:t>
      </w:r>
      <w:r>
        <w:rPr>
          <w:rFonts w:ascii="Arial" w:hAnsi="Arial" w:cs="Arial"/>
          <w:color w:val="1F1A17"/>
        </w:rPr>
        <w:t xml:space="preserve"> </w:t>
      </w:r>
      <w:proofErr w:type="spellStart"/>
      <w:r w:rsidRPr="003619C5">
        <w:rPr>
          <w:rFonts w:ascii="Arial" w:hAnsi="Arial" w:cs="Arial"/>
          <w:color w:val="1F1A17"/>
        </w:rPr>
        <w:t>arritimias</w:t>
      </w:r>
      <w:proofErr w:type="spellEnd"/>
      <w:r w:rsidRPr="003619C5">
        <w:rPr>
          <w:rFonts w:ascii="Arial" w:hAnsi="Arial" w:cs="Arial"/>
          <w:color w:val="1F1A17"/>
        </w:rPr>
        <w:t xml:space="preserve"> cardíacas, edema pulmonar não cardiogênico,</w:t>
      </w:r>
      <w:r>
        <w:rPr>
          <w:rFonts w:ascii="Arial" w:hAnsi="Arial" w:cs="Arial"/>
          <w:color w:val="1F1A17"/>
        </w:rPr>
        <w:t xml:space="preserve"> </w:t>
      </w:r>
      <w:proofErr w:type="spellStart"/>
      <w:r w:rsidRPr="003619C5">
        <w:rPr>
          <w:rFonts w:ascii="Arial" w:hAnsi="Arial" w:cs="Arial"/>
          <w:color w:val="1F1A17"/>
        </w:rPr>
        <w:t>pneumonite</w:t>
      </w:r>
      <w:proofErr w:type="spellEnd"/>
      <w:r w:rsidRPr="003619C5">
        <w:rPr>
          <w:rFonts w:ascii="Arial" w:hAnsi="Arial" w:cs="Arial"/>
          <w:color w:val="1F1A17"/>
        </w:rPr>
        <w:t>, necrose tubular aguda, elevação de enzimas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hepáticas, leucócitos, acidose metabólica e </w:t>
      </w:r>
      <w:proofErr w:type="spellStart"/>
      <w:r w:rsidRPr="003619C5">
        <w:rPr>
          <w:rFonts w:ascii="Arial" w:hAnsi="Arial" w:cs="Arial"/>
          <w:color w:val="1F1A17"/>
        </w:rPr>
        <w:t>hipercalemia</w:t>
      </w:r>
      <w:proofErr w:type="spellEnd"/>
      <w:r w:rsidRPr="003619C5">
        <w:rPr>
          <w:rFonts w:ascii="Arial" w:hAnsi="Arial" w:cs="Arial"/>
          <w:color w:val="1F1A17"/>
        </w:rPr>
        <w:t>.</w:t>
      </w:r>
    </w:p>
    <w:p w:rsidR="00266CEF" w:rsidRPr="00FC52D9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17"/>
        </w:rPr>
      </w:pPr>
      <w:r w:rsidRPr="003619C5">
        <w:rPr>
          <w:rFonts w:ascii="Arial" w:hAnsi="Arial" w:cs="Arial"/>
          <w:color w:val="1F1A17"/>
        </w:rPr>
        <w:t>Este produto é classificado toxicologicamente pelo Ministério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da Saúde como </w:t>
      </w:r>
      <w:r w:rsidRPr="00FC52D9">
        <w:rPr>
          <w:rFonts w:ascii="Arial" w:hAnsi="Arial" w:cs="Arial"/>
          <w:b/>
          <w:color w:val="1F1A17"/>
        </w:rPr>
        <w:t>CLASSE IV</w:t>
      </w:r>
      <w:proofErr w:type="gramStart"/>
      <w:r w:rsidRPr="00FC52D9">
        <w:rPr>
          <w:rFonts w:ascii="Arial" w:hAnsi="Arial" w:cs="Arial"/>
          <w:b/>
          <w:color w:val="1F1A17"/>
        </w:rPr>
        <w:t xml:space="preserve">  </w:t>
      </w:r>
      <w:proofErr w:type="gramEnd"/>
      <w:r w:rsidRPr="00FC52D9">
        <w:rPr>
          <w:rFonts w:ascii="Arial" w:hAnsi="Arial" w:cs="Arial"/>
          <w:b/>
          <w:color w:val="1F1A17"/>
        </w:rPr>
        <w:t>POUCO TOXICO;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 xml:space="preserve">Este produto é classificado como </w:t>
      </w:r>
      <w:r w:rsidRPr="00FC52D9">
        <w:rPr>
          <w:rFonts w:ascii="Arial" w:hAnsi="Arial" w:cs="Arial"/>
          <w:b/>
          <w:color w:val="1F1A17"/>
        </w:rPr>
        <w:t>PERIGOSO - CLASSE III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para o meio ambiente pelo </w:t>
      </w:r>
      <w:r w:rsidRPr="00FC52D9">
        <w:rPr>
          <w:rFonts w:ascii="Arial" w:hAnsi="Arial" w:cs="Arial"/>
          <w:b/>
          <w:color w:val="1F1A17"/>
        </w:rPr>
        <w:t>IBAMA.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1A17"/>
        </w:rPr>
      </w:pPr>
      <w:r w:rsidRPr="003619C5">
        <w:rPr>
          <w:rFonts w:ascii="Arial" w:hAnsi="Arial" w:cs="Arial"/>
          <w:b/>
          <w:bCs/>
          <w:color w:val="1F1A17"/>
        </w:rPr>
        <w:t>4. MEDIDAS DE PRIMEIROS SOCORROS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b/>
          <w:bCs/>
          <w:color w:val="1F1A17"/>
        </w:rPr>
        <w:t xml:space="preserve">Ingestão: </w:t>
      </w:r>
      <w:r w:rsidRPr="003619C5">
        <w:rPr>
          <w:rFonts w:ascii="Arial" w:hAnsi="Arial" w:cs="Arial"/>
          <w:color w:val="1F1A17"/>
        </w:rPr>
        <w:t>No caso de ingestão, não provoque vômito, procure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logo o médico, levando a embalagem, rótulo, bula ou receituário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agronômico do produto;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b/>
          <w:bCs/>
          <w:color w:val="1F1A17"/>
        </w:rPr>
        <w:t xml:space="preserve">Olhos: </w:t>
      </w:r>
      <w:r w:rsidRPr="003619C5">
        <w:rPr>
          <w:rFonts w:ascii="Arial" w:hAnsi="Arial" w:cs="Arial"/>
          <w:color w:val="1F1A17"/>
        </w:rPr>
        <w:t>No caso de contato com os olhos, lave-os com água em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abundância e procure o médico, levando a embalagem, rótulo,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bula ou receituário agronômico do produto;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b/>
          <w:bCs/>
          <w:color w:val="1F1A17"/>
        </w:rPr>
        <w:t xml:space="preserve">Pele: </w:t>
      </w:r>
      <w:r w:rsidRPr="003619C5">
        <w:rPr>
          <w:rFonts w:ascii="Arial" w:hAnsi="Arial" w:cs="Arial"/>
          <w:color w:val="1F1A17"/>
        </w:rPr>
        <w:t>No caso de contato com a pele, lave-a com água e sabão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em abundância e se houver irritação procure o médico levando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a embalagem, rótulo, bula ou receituário agronômico do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produto.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b/>
          <w:bCs/>
          <w:color w:val="1F1A17"/>
        </w:rPr>
        <w:t xml:space="preserve">Inalação: </w:t>
      </w:r>
      <w:r w:rsidRPr="003619C5">
        <w:rPr>
          <w:rFonts w:ascii="Arial" w:hAnsi="Arial" w:cs="Arial"/>
          <w:color w:val="1F1A17"/>
        </w:rPr>
        <w:t>No caso de inalação do produto procure lugar</w:t>
      </w:r>
      <w:proofErr w:type="gramStart"/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 </w:t>
      </w:r>
      <w:proofErr w:type="gramEnd"/>
      <w:r w:rsidRPr="003619C5">
        <w:rPr>
          <w:rFonts w:ascii="Arial" w:hAnsi="Arial" w:cs="Arial"/>
          <w:color w:val="1F1A17"/>
        </w:rPr>
        <w:t>arejado e vá ao médico, levando a embalagem, rótulo ou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receituário do produto.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b/>
          <w:bCs/>
          <w:color w:val="1F1A17"/>
        </w:rPr>
        <w:t xml:space="preserve">Notas para o Médico: </w:t>
      </w:r>
      <w:r w:rsidRPr="003619C5">
        <w:rPr>
          <w:rFonts w:ascii="Arial" w:hAnsi="Arial" w:cs="Arial"/>
          <w:color w:val="1F1A17"/>
        </w:rPr>
        <w:t>Diagnóstico Laboratorial: Pesquisa de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composto no material gástrico. Enzimas hepática, </w:t>
      </w:r>
      <w:proofErr w:type="spellStart"/>
      <w:r w:rsidRPr="003619C5">
        <w:rPr>
          <w:rFonts w:ascii="Arial" w:hAnsi="Arial" w:cs="Arial"/>
          <w:color w:val="1F1A17"/>
        </w:rPr>
        <w:t>funcão</w:t>
      </w:r>
      <w:proofErr w:type="spellEnd"/>
      <w:r w:rsidRPr="003619C5">
        <w:rPr>
          <w:rFonts w:ascii="Arial" w:hAnsi="Arial" w:cs="Arial"/>
          <w:color w:val="1F1A17"/>
        </w:rPr>
        <w:t xml:space="preserve"> renal,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eletrólitos, gasometria, urina I e </w:t>
      </w:r>
      <w:proofErr w:type="gramStart"/>
      <w:r w:rsidRPr="003619C5">
        <w:rPr>
          <w:rFonts w:ascii="Arial" w:hAnsi="Arial" w:cs="Arial"/>
          <w:color w:val="1F1A17"/>
        </w:rPr>
        <w:t>raio X</w:t>
      </w:r>
      <w:proofErr w:type="gramEnd"/>
      <w:r w:rsidRPr="003619C5">
        <w:rPr>
          <w:rFonts w:ascii="Arial" w:hAnsi="Arial" w:cs="Arial"/>
          <w:color w:val="1F1A17"/>
        </w:rPr>
        <w:t xml:space="preserve"> de tórax em pacientes</w:t>
      </w:r>
      <w:r>
        <w:rPr>
          <w:rFonts w:ascii="Arial" w:hAnsi="Arial" w:cs="Arial"/>
          <w:color w:val="1F1A17"/>
        </w:rPr>
        <w:t xml:space="preserve"> sintomáticos. </w:t>
      </w:r>
      <w:r w:rsidRPr="003619C5">
        <w:rPr>
          <w:rFonts w:ascii="Arial" w:hAnsi="Arial" w:cs="Arial"/>
          <w:color w:val="1F1A17"/>
        </w:rPr>
        <w:t xml:space="preserve">Não é recomendado </w:t>
      </w:r>
      <w:proofErr w:type="spellStart"/>
      <w:r w:rsidRPr="003619C5">
        <w:rPr>
          <w:rFonts w:ascii="Arial" w:hAnsi="Arial" w:cs="Arial"/>
          <w:color w:val="1F1A17"/>
        </w:rPr>
        <w:t>emese</w:t>
      </w:r>
      <w:proofErr w:type="spellEnd"/>
      <w:r w:rsidRPr="003619C5">
        <w:rPr>
          <w:rFonts w:ascii="Arial" w:hAnsi="Arial" w:cs="Arial"/>
          <w:color w:val="1F1A17"/>
        </w:rPr>
        <w:t>. O vômito pode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>ocorrer espontaneamente. Oferecer líquidos para diluição.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Carvão ativado e catártico; 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 w:rsidRPr="003619C5">
        <w:rPr>
          <w:rFonts w:ascii="Arial" w:hAnsi="Arial" w:cs="Arial"/>
          <w:color w:val="1F1A17"/>
        </w:rPr>
        <w:t>Não há antidoto especifico. O</w:t>
      </w:r>
      <w:r>
        <w:rPr>
          <w:rFonts w:ascii="Arial" w:hAnsi="Arial" w:cs="Arial"/>
          <w:color w:val="1F1A17"/>
        </w:rPr>
        <w:t xml:space="preserve"> </w:t>
      </w:r>
      <w:r w:rsidRPr="003619C5">
        <w:rPr>
          <w:rFonts w:ascii="Arial" w:hAnsi="Arial" w:cs="Arial"/>
          <w:color w:val="1F1A17"/>
        </w:rPr>
        <w:t xml:space="preserve">tratamento é sintomático e de manutenção. Não </w:t>
      </w:r>
      <w:r>
        <w:rPr>
          <w:rFonts w:ascii="Arial" w:hAnsi="Arial" w:cs="Arial"/>
          <w:color w:val="1F1A17"/>
        </w:rPr>
        <w:t>a</w:t>
      </w:r>
      <w:r w:rsidRPr="003619C5">
        <w:rPr>
          <w:rFonts w:ascii="Arial" w:hAnsi="Arial" w:cs="Arial"/>
          <w:color w:val="1F1A17"/>
        </w:rPr>
        <w:t>dministrar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proofErr w:type="gramStart"/>
      <w:r w:rsidRPr="003619C5">
        <w:rPr>
          <w:rFonts w:ascii="Arial" w:hAnsi="Arial" w:cs="Arial"/>
          <w:color w:val="1F1A17"/>
        </w:rPr>
        <w:t>atropina</w:t>
      </w:r>
      <w:proofErr w:type="gramEnd"/>
      <w:r w:rsidRPr="003619C5">
        <w:rPr>
          <w:rFonts w:ascii="Arial" w:hAnsi="Arial" w:cs="Arial"/>
          <w:color w:val="1F1A17"/>
        </w:rPr>
        <w:t xml:space="preserve"> (o Glifosato  não é inseticida </w:t>
      </w:r>
      <w:proofErr w:type="spellStart"/>
      <w:r w:rsidRPr="003619C5">
        <w:rPr>
          <w:rFonts w:ascii="Arial" w:hAnsi="Arial" w:cs="Arial"/>
          <w:color w:val="1F1A17"/>
        </w:rPr>
        <w:t>organofosforado</w:t>
      </w:r>
      <w:proofErr w:type="spellEnd"/>
      <w:r w:rsidRPr="003619C5">
        <w:rPr>
          <w:rFonts w:ascii="Arial" w:hAnsi="Arial" w:cs="Arial"/>
          <w:color w:val="1F1A17"/>
        </w:rPr>
        <w:t>).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619C5">
        <w:rPr>
          <w:rFonts w:ascii="Arial" w:hAnsi="Arial" w:cs="Arial"/>
          <w:b/>
          <w:bCs/>
          <w:color w:val="000000"/>
        </w:rPr>
        <w:t>5. MEDIDAS DE COMBATE A INCÊNDIO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Resfriar as embalagens expostas ao fogo com água em forma de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neblina. Use extintores de água em forma de neblina, CO</w:t>
      </w:r>
      <w:r>
        <w:rPr>
          <w:rFonts w:ascii="Arial" w:hAnsi="Arial" w:cs="Arial"/>
          <w:color w:val="000000"/>
          <w:vertAlign w:val="subscript"/>
        </w:rPr>
        <w:t>2</w:t>
      </w:r>
      <w:r w:rsidRPr="003619C5">
        <w:rPr>
          <w:rFonts w:ascii="Arial" w:hAnsi="Arial" w:cs="Arial"/>
          <w:color w:val="000000"/>
        </w:rPr>
        <w:t xml:space="preserve"> ou pó</w:t>
      </w:r>
      <w:proofErr w:type="gramStart"/>
      <w:r w:rsidRPr="003619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Pr="003619C5">
        <w:rPr>
          <w:rFonts w:ascii="Arial" w:hAnsi="Arial" w:cs="Arial"/>
          <w:color w:val="000000"/>
        </w:rPr>
        <w:t>químico, ficando a favor do vento para evitar intoxicação.</w:t>
      </w:r>
      <w:r>
        <w:rPr>
          <w:rFonts w:ascii="Arial" w:hAnsi="Arial" w:cs="Arial"/>
          <w:color w:val="000000"/>
        </w:rPr>
        <w:t xml:space="preserve"> A matéria prima Glifosato não é combustível.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C52D9">
        <w:rPr>
          <w:rFonts w:ascii="Arial" w:hAnsi="Arial" w:cs="Arial"/>
          <w:b/>
          <w:color w:val="000000"/>
        </w:rPr>
        <w:t>Subprodutos da Combustão</w:t>
      </w:r>
      <w:r w:rsidRPr="003619C5">
        <w:rPr>
          <w:rFonts w:ascii="Arial" w:hAnsi="Arial" w:cs="Arial"/>
          <w:color w:val="000000"/>
        </w:rPr>
        <w:t>: Pode resultar em fumaça e vapores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tóxicos.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619C5">
        <w:rPr>
          <w:rFonts w:ascii="Arial" w:hAnsi="Arial" w:cs="Arial"/>
          <w:b/>
          <w:bCs/>
          <w:color w:val="000000"/>
        </w:rPr>
        <w:t>6. MEDIDAS DE CONTROLE PARA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19C5">
        <w:rPr>
          <w:rFonts w:ascii="Arial" w:hAnsi="Arial" w:cs="Arial"/>
          <w:b/>
          <w:bCs/>
          <w:color w:val="000000"/>
        </w:rPr>
        <w:t>DERRAMAMENTO OU VAZAMENTO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Em caso de derrame, estanque o escoamento, não permitindo que o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 xml:space="preserve">produto entre em bueiros, drenos ou corpos d'água. 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C52D9">
        <w:rPr>
          <w:rFonts w:ascii="Arial" w:hAnsi="Arial" w:cs="Arial"/>
          <w:b/>
          <w:color w:val="000000"/>
        </w:rPr>
        <w:t>Siga as instruções abaixo</w:t>
      </w:r>
      <w:r w:rsidRPr="003619C5">
        <w:rPr>
          <w:rFonts w:ascii="Arial" w:hAnsi="Arial" w:cs="Arial"/>
          <w:color w:val="000000"/>
        </w:rPr>
        <w:t>: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66CEF" w:rsidRPr="005D4E69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b/>
          <w:bCs/>
          <w:color w:val="000000"/>
        </w:rPr>
        <w:t xml:space="preserve">Piso pavimentado: </w:t>
      </w:r>
      <w:r w:rsidRPr="003619C5">
        <w:rPr>
          <w:rFonts w:ascii="Arial" w:hAnsi="Arial" w:cs="Arial"/>
          <w:color w:val="000000"/>
        </w:rPr>
        <w:t>Coloque material absorvente (por exemplo: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serragem ou terra) sobre o conteúdo derramado e recolha o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 xml:space="preserve">material com o auxilio de </w:t>
      </w:r>
      <w:proofErr w:type="gramStart"/>
      <w:r w:rsidRPr="003619C5">
        <w:rPr>
          <w:rFonts w:ascii="Arial" w:hAnsi="Arial" w:cs="Arial"/>
          <w:color w:val="000000"/>
        </w:rPr>
        <w:t>um pá</w:t>
      </w:r>
      <w:proofErr w:type="gramEnd"/>
      <w:r w:rsidRPr="003619C5">
        <w:rPr>
          <w:rFonts w:ascii="Arial" w:hAnsi="Arial" w:cs="Arial"/>
          <w:color w:val="000000"/>
        </w:rPr>
        <w:t xml:space="preserve"> e coloque em recipiente lacrado e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identificado devidamente. Remova conforme orientações de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destinação adequada de resíduos e embalagens. Lave o local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com grande quantidade de água;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b/>
          <w:bCs/>
          <w:color w:val="000000"/>
        </w:rPr>
        <w:t xml:space="preserve">Solo: </w:t>
      </w:r>
      <w:r w:rsidRPr="003619C5">
        <w:rPr>
          <w:rFonts w:ascii="Arial" w:hAnsi="Arial" w:cs="Arial"/>
          <w:color w:val="000000"/>
        </w:rPr>
        <w:t>Retire as camadas de terra contaminada até atingir o solo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não contaminado e adote os mesmos procedimentos acima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 xml:space="preserve">descritos para recolhimento e destinação </w:t>
      </w:r>
      <w:proofErr w:type="spellStart"/>
      <w:r w:rsidRPr="003619C5">
        <w:rPr>
          <w:rFonts w:ascii="Arial" w:hAnsi="Arial" w:cs="Arial"/>
          <w:color w:val="000000"/>
        </w:rPr>
        <w:t>dequada</w:t>
      </w:r>
      <w:proofErr w:type="spellEnd"/>
      <w:r w:rsidRPr="003619C5">
        <w:rPr>
          <w:rFonts w:ascii="Arial" w:hAnsi="Arial" w:cs="Arial"/>
          <w:color w:val="000000"/>
        </w:rPr>
        <w:t>;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b/>
          <w:bCs/>
          <w:color w:val="000000"/>
        </w:rPr>
        <w:t xml:space="preserve">Corpos d'água: </w:t>
      </w:r>
      <w:r w:rsidRPr="003619C5">
        <w:rPr>
          <w:rFonts w:ascii="Arial" w:hAnsi="Arial" w:cs="Arial"/>
          <w:color w:val="000000"/>
        </w:rPr>
        <w:t>Interrompa imediatamente a captação para o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consumo humano e animal e contate o centro de emergência da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empresa, visto que as medidas a serem adotadas dependem das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proporções do acidente, das características do recurso hídrico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619C5">
        <w:rPr>
          <w:rFonts w:ascii="Arial" w:hAnsi="Arial" w:cs="Arial"/>
          <w:color w:val="000000"/>
        </w:rPr>
        <w:t>em</w:t>
      </w:r>
      <w:proofErr w:type="gramEnd"/>
      <w:r w:rsidRPr="003619C5">
        <w:rPr>
          <w:rFonts w:ascii="Arial" w:hAnsi="Arial" w:cs="Arial"/>
          <w:color w:val="000000"/>
        </w:rPr>
        <w:t xml:space="preserve"> questão e da quantidade do produto envolvido.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619C5">
        <w:rPr>
          <w:rFonts w:ascii="Arial" w:hAnsi="Arial" w:cs="Arial"/>
          <w:b/>
          <w:bCs/>
          <w:color w:val="000000"/>
        </w:rPr>
        <w:t>7. MANUSEIO E ARMAZENAMENTO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619C5">
        <w:rPr>
          <w:rFonts w:ascii="Arial" w:hAnsi="Arial" w:cs="Arial"/>
          <w:b/>
          <w:bCs/>
          <w:color w:val="000000"/>
        </w:rPr>
        <w:t>Manuseio: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Não coma, não beba e não fume durante o manuseio do produto.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Evitar a inalação e contato do produto com a pele e os olhos.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Lavar-se inteiramente após o manuseio.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Não manuseie o produto com as mãos desprotegidas. Use luvas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impermeáveis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C52D9">
        <w:rPr>
          <w:rFonts w:ascii="Arial" w:hAnsi="Arial" w:cs="Arial"/>
          <w:b/>
          <w:color w:val="000000"/>
        </w:rPr>
        <w:t>EPI</w:t>
      </w:r>
      <w:r w:rsidRPr="00FC52D9">
        <w:rPr>
          <w:rFonts w:ascii="Arial" w:hAnsi="Arial" w:cs="Arial"/>
          <w:b/>
          <w:bCs/>
          <w:color w:val="000000"/>
        </w:rPr>
        <w:t>:</w:t>
      </w:r>
      <w:r w:rsidRPr="003619C5">
        <w:rPr>
          <w:rFonts w:ascii="Arial" w:hAnsi="Arial" w:cs="Arial"/>
          <w:b/>
          <w:bCs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Utilize macacão impermeável, luvas e botas de borracha,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óculos protetores e mascara respiratória contra eventuais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vapores do tipo "3M", modelo 6200 ou similar, provida de filtro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mecânico, modelo 6003 ou similar.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Transporte o produto isolado de medicamento, rações, animais e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pessoas.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619C5">
        <w:rPr>
          <w:rFonts w:ascii="Arial" w:hAnsi="Arial" w:cs="Arial"/>
          <w:b/>
          <w:bCs/>
          <w:color w:val="000000"/>
        </w:rPr>
        <w:t>Armazenamento: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Mantenha o produto em sua embalagem original, sempre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fechada.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 xml:space="preserve">O local deve ser </w:t>
      </w:r>
      <w:proofErr w:type="gramStart"/>
      <w:r w:rsidRPr="003619C5">
        <w:rPr>
          <w:rFonts w:ascii="Arial" w:hAnsi="Arial" w:cs="Arial"/>
          <w:color w:val="000000"/>
        </w:rPr>
        <w:t>exclusivo para produtos tóxicos, devendo ser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isolado de alimentos, bebidas</w:t>
      </w:r>
      <w:proofErr w:type="gramEnd"/>
      <w:r w:rsidRPr="003619C5">
        <w:rPr>
          <w:rFonts w:ascii="Arial" w:hAnsi="Arial" w:cs="Arial"/>
          <w:color w:val="000000"/>
        </w:rPr>
        <w:t xml:space="preserve"> ou outros materiais.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A construção deve ser de alvenaria ou de material não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comburente.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O local deve ser ventilado, coberto e ter piso impermeável.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Coloque placa de advertência com os dizeres: CUIDADO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>VENENO.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19C5">
        <w:rPr>
          <w:rFonts w:ascii="Arial" w:hAnsi="Arial" w:cs="Arial"/>
          <w:color w:val="000000"/>
        </w:rPr>
        <w:t>Tranque o local, evitando o acesso de pessoas não autorizadas,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  <w:color w:val="000000"/>
        </w:rPr>
        <w:t xml:space="preserve">principalmente </w:t>
      </w:r>
      <w:r>
        <w:rPr>
          <w:rFonts w:ascii="Arial" w:hAnsi="Arial" w:cs="Arial"/>
          <w:color w:val="000000"/>
        </w:rPr>
        <w:t>c</w:t>
      </w:r>
      <w:r w:rsidRPr="003619C5">
        <w:rPr>
          <w:rFonts w:ascii="Arial" w:hAnsi="Arial" w:cs="Arial"/>
          <w:color w:val="000000"/>
        </w:rPr>
        <w:t>rianças.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C5">
        <w:rPr>
          <w:rFonts w:ascii="Arial" w:hAnsi="Arial" w:cs="Arial"/>
          <w:color w:val="000000"/>
        </w:rPr>
        <w:t>Deve haver sempre embalagens adequadas disponíveis, para</w:t>
      </w:r>
      <w:r>
        <w:rPr>
          <w:rFonts w:ascii="Arial" w:hAnsi="Arial" w:cs="Arial"/>
          <w:color w:val="000000"/>
        </w:rPr>
        <w:t xml:space="preserve"> </w:t>
      </w:r>
      <w:r w:rsidRPr="003619C5">
        <w:rPr>
          <w:rFonts w:ascii="Arial" w:hAnsi="Arial" w:cs="Arial"/>
        </w:rPr>
        <w:t>envolver embalagens rompidas ou para o recolhimento de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>produtos vazados.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>Em caso de armazéns, deverão ser seguidas as instruções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 xml:space="preserve">constantes da </w:t>
      </w:r>
      <w:r w:rsidRPr="006332E5">
        <w:rPr>
          <w:rFonts w:ascii="Arial" w:hAnsi="Arial" w:cs="Arial"/>
          <w:b/>
        </w:rPr>
        <w:t>NBR 9843</w:t>
      </w:r>
      <w:r w:rsidRPr="003619C5">
        <w:rPr>
          <w:rFonts w:ascii="Arial" w:hAnsi="Arial" w:cs="Arial"/>
        </w:rPr>
        <w:t>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C5">
        <w:rPr>
          <w:rFonts w:ascii="Arial" w:hAnsi="Arial" w:cs="Arial"/>
        </w:rPr>
        <w:lastRenderedPageBreak/>
        <w:t>Observe as disposições constantes da legislação estadual e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>municipal.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32E5">
        <w:rPr>
          <w:rFonts w:ascii="Arial" w:hAnsi="Arial" w:cs="Arial"/>
          <w:b/>
        </w:rPr>
        <w:t>Materiais de embalagem:</w:t>
      </w:r>
      <w:r w:rsidRPr="003619C5">
        <w:rPr>
          <w:rFonts w:ascii="Arial" w:hAnsi="Arial" w:cs="Arial"/>
        </w:rPr>
        <w:t xml:space="preserve"> o produto não é corrosivo para o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>ferro, plástico, latão e cobre.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619C5">
        <w:rPr>
          <w:rFonts w:ascii="Arial" w:hAnsi="Arial" w:cs="Arial"/>
          <w:b/>
          <w:bCs/>
        </w:rPr>
        <w:t>8. CONTROLE DE EXPOSIÇÃO E PROTEÇÃO INDIVIDUAL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C5">
        <w:rPr>
          <w:rFonts w:ascii="Arial" w:hAnsi="Arial" w:cs="Arial"/>
          <w:b/>
          <w:bCs/>
        </w:rPr>
        <w:t xml:space="preserve">EPI: </w:t>
      </w:r>
      <w:r w:rsidRPr="003619C5">
        <w:rPr>
          <w:rFonts w:ascii="Arial" w:hAnsi="Arial" w:cs="Arial"/>
        </w:rPr>
        <w:t>Utilize macacão impermeável, luvas e botas de borracha,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>óculos protetores e mascara respiratória contra eventuais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>vapores do tipo "3M", modelo 6200 ou similar, provida de filtro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>mecânico, modelo 6003 ou similar.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C5">
        <w:rPr>
          <w:rFonts w:ascii="Arial" w:hAnsi="Arial" w:cs="Arial"/>
          <w:b/>
          <w:bCs/>
        </w:rPr>
        <w:t xml:space="preserve">EPC: </w:t>
      </w:r>
      <w:r w:rsidRPr="003619C5">
        <w:rPr>
          <w:rFonts w:ascii="Arial" w:hAnsi="Arial" w:cs="Arial"/>
        </w:rPr>
        <w:t>Ventilação/ Exaustão geral adequadas.</w:t>
      </w: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C5">
        <w:rPr>
          <w:rFonts w:ascii="Arial" w:hAnsi="Arial" w:cs="Arial"/>
          <w:b/>
          <w:bCs/>
        </w:rPr>
        <w:t xml:space="preserve">Equipamentos Emergenciais: </w:t>
      </w:r>
      <w:r w:rsidRPr="003619C5">
        <w:rPr>
          <w:rFonts w:ascii="Arial" w:hAnsi="Arial" w:cs="Arial"/>
        </w:rPr>
        <w:t>Chuveiros de emergência.</w:t>
      </w:r>
      <w:r>
        <w:rPr>
          <w:rFonts w:ascii="Arial" w:hAnsi="Arial" w:cs="Arial"/>
        </w:rPr>
        <w:t xml:space="preserve"> </w:t>
      </w:r>
      <w:r w:rsidRPr="003619C5">
        <w:rPr>
          <w:rFonts w:ascii="Arial" w:hAnsi="Arial" w:cs="Arial"/>
        </w:rPr>
        <w:t>Lava-olhos.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3619C5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19C5">
        <w:rPr>
          <w:rFonts w:ascii="Arial" w:hAnsi="Arial" w:cs="Arial"/>
          <w:b/>
          <w:bCs/>
        </w:rPr>
        <w:t>9. PROPRIEDADES FÍSICO-QUÍMICAS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Estado físico: </w:t>
      </w:r>
      <w:r w:rsidRPr="00836FB4">
        <w:rPr>
          <w:rFonts w:ascii="Arial" w:hAnsi="Arial" w:cs="Arial"/>
        </w:rPr>
        <w:t>líquido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Forma: </w:t>
      </w:r>
      <w:r w:rsidRPr="00836FB4">
        <w:rPr>
          <w:rFonts w:ascii="Arial" w:hAnsi="Arial" w:cs="Arial"/>
        </w:rPr>
        <w:t>límpida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Cor: </w:t>
      </w:r>
      <w:r w:rsidRPr="00836FB4">
        <w:rPr>
          <w:rFonts w:ascii="Arial" w:hAnsi="Arial" w:cs="Arial"/>
        </w:rPr>
        <w:t>amarelo claro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Odor: </w:t>
      </w:r>
      <w:r w:rsidRPr="00836FB4">
        <w:rPr>
          <w:rFonts w:ascii="Arial" w:hAnsi="Arial" w:cs="Arial"/>
        </w:rPr>
        <w:t>característico.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proofErr w:type="gramStart"/>
      <w:r w:rsidRPr="00836FB4">
        <w:rPr>
          <w:rFonts w:ascii="Arial" w:hAnsi="Arial" w:cs="Arial"/>
          <w:b/>
          <w:bCs/>
        </w:rPr>
        <w:t>pH</w:t>
      </w:r>
      <w:proofErr w:type="gramEnd"/>
      <w:r w:rsidRPr="00836FB4">
        <w:rPr>
          <w:rFonts w:ascii="Arial" w:hAnsi="Arial" w:cs="Arial"/>
          <w:b/>
          <w:bCs/>
        </w:rPr>
        <w:t xml:space="preserve">: </w:t>
      </w:r>
      <w:r w:rsidRPr="00836FB4">
        <w:rPr>
          <w:rFonts w:ascii="Arial" w:hAnsi="Arial" w:cs="Arial"/>
        </w:rPr>
        <w:t>5,0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Temperatura especifica ou faixas de temperaturas nas quais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836FB4">
        <w:rPr>
          <w:rFonts w:ascii="Arial" w:hAnsi="Arial" w:cs="Arial"/>
          <w:b/>
          <w:bCs/>
        </w:rPr>
        <w:t>ocorrem</w:t>
      </w:r>
      <w:proofErr w:type="gramEnd"/>
      <w:r w:rsidRPr="00836FB4">
        <w:rPr>
          <w:rFonts w:ascii="Arial" w:hAnsi="Arial" w:cs="Arial"/>
          <w:b/>
          <w:bCs/>
        </w:rPr>
        <w:t xml:space="preserve"> mudanças de estado físico: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Ponto de ebulição: </w:t>
      </w:r>
      <w:r w:rsidRPr="00836FB4">
        <w:rPr>
          <w:rFonts w:ascii="Arial" w:hAnsi="Arial" w:cs="Arial"/>
        </w:rPr>
        <w:t>ND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Faixa de temperatura de ebulição: </w:t>
      </w:r>
      <w:r w:rsidRPr="00836FB4">
        <w:rPr>
          <w:rFonts w:ascii="Arial" w:hAnsi="Arial" w:cs="Arial"/>
        </w:rPr>
        <w:t>ND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Faixa de destilação: </w:t>
      </w:r>
      <w:r w:rsidRPr="00836FB4">
        <w:rPr>
          <w:rFonts w:ascii="Arial" w:hAnsi="Arial" w:cs="Arial"/>
        </w:rPr>
        <w:t>ND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Ponto de fusão: </w:t>
      </w:r>
      <w:r w:rsidRPr="00836FB4">
        <w:rPr>
          <w:rFonts w:ascii="Arial" w:hAnsi="Arial" w:cs="Arial"/>
        </w:rPr>
        <w:t>não aplicado por se tratar de produto no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estado liquido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Temperatura de </w:t>
      </w:r>
      <w:proofErr w:type="spellStart"/>
      <w:r w:rsidRPr="00836FB4">
        <w:rPr>
          <w:rFonts w:ascii="Arial" w:hAnsi="Arial" w:cs="Arial"/>
          <w:b/>
          <w:bCs/>
        </w:rPr>
        <w:t>decomposicão</w:t>
      </w:r>
      <w:proofErr w:type="spellEnd"/>
      <w:r w:rsidRPr="00836FB4">
        <w:rPr>
          <w:rFonts w:ascii="Arial" w:hAnsi="Arial" w:cs="Arial"/>
          <w:b/>
          <w:bCs/>
        </w:rPr>
        <w:t xml:space="preserve">: </w:t>
      </w:r>
      <w:r w:rsidRPr="00836FB4">
        <w:rPr>
          <w:rFonts w:ascii="Arial" w:hAnsi="Arial" w:cs="Arial"/>
        </w:rPr>
        <w:t>ND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Ponto de fulgor: </w:t>
      </w:r>
      <w:r>
        <w:rPr>
          <w:rFonts w:ascii="Arial" w:hAnsi="Arial" w:cs="Arial"/>
        </w:rPr>
        <w:t>ND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Temperatura de auto-ignição: </w:t>
      </w:r>
      <w:r w:rsidRPr="00836FB4">
        <w:rPr>
          <w:rFonts w:ascii="Arial" w:hAnsi="Arial" w:cs="Arial"/>
        </w:rPr>
        <w:t>ND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Limites de </w:t>
      </w:r>
      <w:proofErr w:type="spellStart"/>
      <w:r w:rsidRPr="00836FB4">
        <w:rPr>
          <w:rFonts w:ascii="Arial" w:hAnsi="Arial" w:cs="Arial"/>
          <w:b/>
          <w:bCs/>
        </w:rPr>
        <w:t>explosividade</w:t>
      </w:r>
      <w:proofErr w:type="spellEnd"/>
      <w:r w:rsidRPr="00836FB4">
        <w:rPr>
          <w:rFonts w:ascii="Arial" w:hAnsi="Arial" w:cs="Arial"/>
          <w:b/>
          <w:bCs/>
        </w:rPr>
        <w:t xml:space="preserve"> superior/inferior: </w:t>
      </w:r>
      <w:r w:rsidRPr="00836FB4">
        <w:rPr>
          <w:rFonts w:ascii="Arial" w:hAnsi="Arial" w:cs="Arial"/>
        </w:rPr>
        <w:t>ND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Pressão de vapor: </w:t>
      </w:r>
      <w:r w:rsidRPr="00836FB4">
        <w:rPr>
          <w:rFonts w:ascii="Arial" w:hAnsi="Arial" w:cs="Arial"/>
        </w:rPr>
        <w:t>desprezível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  <w:b/>
          <w:bCs/>
        </w:rPr>
        <w:t xml:space="preserve">Densidade do vapor: </w:t>
      </w:r>
      <w:r w:rsidRPr="00836FB4">
        <w:rPr>
          <w:rFonts w:ascii="Arial" w:hAnsi="Arial" w:cs="Arial"/>
        </w:rPr>
        <w:t>NA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Densidade: </w:t>
      </w:r>
      <w:r w:rsidRPr="00836FB4">
        <w:rPr>
          <w:rFonts w:ascii="Arial" w:hAnsi="Arial" w:cs="Arial"/>
        </w:rPr>
        <w:t>1,</w:t>
      </w:r>
      <w:r>
        <w:rPr>
          <w:rFonts w:ascii="Arial" w:hAnsi="Arial" w:cs="Arial"/>
        </w:rPr>
        <w:t>010</w:t>
      </w:r>
      <w:r w:rsidRPr="00836FB4">
        <w:rPr>
          <w:rFonts w:ascii="Arial" w:hAnsi="Arial" w:cs="Arial"/>
        </w:rPr>
        <w:t xml:space="preserve"> g/cm3 a 20 ºC.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Solubilidade em água: </w:t>
      </w:r>
      <w:r w:rsidRPr="00836FB4">
        <w:rPr>
          <w:rFonts w:ascii="Arial" w:hAnsi="Arial" w:cs="Arial"/>
        </w:rPr>
        <w:t xml:space="preserve">Forma uma </w:t>
      </w:r>
      <w:proofErr w:type="spellStart"/>
      <w:r w:rsidRPr="00836FB4">
        <w:rPr>
          <w:rFonts w:ascii="Arial" w:hAnsi="Arial" w:cs="Arial"/>
        </w:rPr>
        <w:t>solucão</w:t>
      </w:r>
      <w:proofErr w:type="spellEnd"/>
      <w:r w:rsidRPr="00836FB4">
        <w:rPr>
          <w:rFonts w:ascii="Arial" w:hAnsi="Arial" w:cs="Arial"/>
        </w:rPr>
        <w:t xml:space="preserve"> em água. Em </w:t>
      </w:r>
      <w:proofErr w:type="spellStart"/>
      <w:r w:rsidRPr="00836FB4"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outros solventes: Diclorometano 0,184 g/L e metanol 15,88 g/L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 xml:space="preserve">(20 </w:t>
      </w:r>
      <w:proofErr w:type="spellStart"/>
      <w:r w:rsidRPr="00836FB4">
        <w:rPr>
          <w:rFonts w:ascii="Arial" w:hAnsi="Arial" w:cs="Arial"/>
        </w:rPr>
        <w:t>ºC</w:t>
      </w:r>
      <w:proofErr w:type="spellEnd"/>
      <w:r w:rsidRPr="00836FB4">
        <w:rPr>
          <w:rFonts w:ascii="Arial" w:hAnsi="Arial" w:cs="Arial"/>
        </w:rPr>
        <w:t>)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 xml:space="preserve">Coeficiente de partição </w:t>
      </w:r>
      <w:proofErr w:type="spellStart"/>
      <w:r w:rsidRPr="00836FB4">
        <w:rPr>
          <w:rFonts w:ascii="Arial" w:hAnsi="Arial" w:cs="Arial"/>
          <w:b/>
          <w:bCs/>
        </w:rPr>
        <w:t>octanol</w:t>
      </w:r>
      <w:proofErr w:type="spellEnd"/>
      <w:r w:rsidRPr="00836FB4">
        <w:rPr>
          <w:rFonts w:ascii="Arial" w:hAnsi="Arial" w:cs="Arial"/>
          <w:b/>
          <w:bCs/>
        </w:rPr>
        <w:t>/água: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Taxa de evaporação: </w:t>
      </w:r>
      <w:r w:rsidRPr="00836FB4">
        <w:rPr>
          <w:rFonts w:ascii="Arial" w:hAnsi="Arial" w:cs="Arial"/>
        </w:rPr>
        <w:t>ND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Outras informações: </w:t>
      </w:r>
      <w:r w:rsidRPr="00836FB4">
        <w:rPr>
          <w:rFonts w:ascii="Arial" w:hAnsi="Arial" w:cs="Arial"/>
        </w:rPr>
        <w:t>ND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D6468" w:rsidRDefault="005D6468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10. ESTABILIDADE E REATIVIDADE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Estabilidade: </w:t>
      </w:r>
      <w:proofErr w:type="gramStart"/>
      <w:r w:rsidRPr="00836FB4">
        <w:rPr>
          <w:rFonts w:ascii="Arial" w:hAnsi="Arial" w:cs="Arial"/>
        </w:rPr>
        <w:t xml:space="preserve">( </w:t>
      </w:r>
      <w:proofErr w:type="gramEnd"/>
      <w:r w:rsidRPr="00836FB4">
        <w:rPr>
          <w:rFonts w:ascii="Arial" w:hAnsi="Arial" w:cs="Arial"/>
        </w:rPr>
        <w:t>X )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Risco de Polimerização: </w:t>
      </w:r>
      <w:proofErr w:type="gramStart"/>
      <w:r w:rsidRPr="00836FB4">
        <w:rPr>
          <w:rFonts w:ascii="Arial" w:hAnsi="Arial" w:cs="Arial"/>
        </w:rPr>
        <w:t xml:space="preserve">( </w:t>
      </w:r>
      <w:proofErr w:type="gramEnd"/>
      <w:r w:rsidRPr="00836FB4">
        <w:rPr>
          <w:rFonts w:ascii="Arial" w:hAnsi="Arial" w:cs="Arial"/>
        </w:rPr>
        <w:t>)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Risco de Polimerização: </w:t>
      </w:r>
      <w:proofErr w:type="gramStart"/>
      <w:r w:rsidRPr="00836FB4">
        <w:rPr>
          <w:rFonts w:ascii="Arial" w:hAnsi="Arial" w:cs="Arial"/>
        </w:rPr>
        <w:t xml:space="preserve">( </w:t>
      </w:r>
      <w:proofErr w:type="gramEnd"/>
      <w:r w:rsidRPr="00836FB4">
        <w:rPr>
          <w:rFonts w:ascii="Arial" w:hAnsi="Arial" w:cs="Arial"/>
        </w:rPr>
        <w:t>)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Condições a evitar: </w:t>
      </w:r>
      <w:r w:rsidRPr="00836FB4">
        <w:rPr>
          <w:rFonts w:ascii="Arial" w:hAnsi="Arial" w:cs="Arial"/>
        </w:rPr>
        <w:t>Estável a baixa e alta temperatura. Não foi corrosiva para os materiais testados, tais como: liga -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cobre/estanho; ferro; alumínio e cobre.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Decomposição: </w:t>
      </w:r>
      <w:r w:rsidRPr="00836FB4">
        <w:rPr>
          <w:rFonts w:ascii="Arial" w:hAnsi="Arial" w:cs="Arial"/>
        </w:rPr>
        <w:t>Pode resultar em fumaça e vapores tóxicos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11. INFORMAÇÕES TOXICOLOGICAS: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Informações de acordo com as diferentes vias de exposição: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DL50 oral aguda: </w:t>
      </w:r>
      <w:r w:rsidRPr="00836FB4">
        <w:rPr>
          <w:rFonts w:ascii="Arial" w:hAnsi="Arial" w:cs="Arial"/>
        </w:rPr>
        <w:t>maior que 2000 mg/Kg para ratos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DL50 </w:t>
      </w:r>
      <w:proofErr w:type="spellStart"/>
      <w:r w:rsidRPr="00836FB4">
        <w:rPr>
          <w:rFonts w:ascii="Arial" w:hAnsi="Arial" w:cs="Arial"/>
          <w:b/>
          <w:bCs/>
        </w:rPr>
        <w:t>dermal</w:t>
      </w:r>
      <w:proofErr w:type="spellEnd"/>
      <w:r w:rsidRPr="00836FB4">
        <w:rPr>
          <w:rFonts w:ascii="Arial" w:hAnsi="Arial" w:cs="Arial"/>
          <w:b/>
          <w:bCs/>
        </w:rPr>
        <w:t xml:space="preserve"> : </w:t>
      </w:r>
      <w:r w:rsidRPr="00836FB4">
        <w:rPr>
          <w:rFonts w:ascii="Arial" w:hAnsi="Arial" w:cs="Arial"/>
        </w:rPr>
        <w:t>maior que 2000 mg/Kg para ratos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CL50 (inalação): </w:t>
      </w:r>
      <w:r w:rsidRPr="00836FB4">
        <w:rPr>
          <w:rFonts w:ascii="Arial" w:hAnsi="Arial" w:cs="Arial"/>
        </w:rPr>
        <w:t>Não aplicado por se tratar de um produto não</w:t>
      </w:r>
      <w:r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</w:rPr>
        <w:t>fumigante</w:t>
      </w:r>
      <w:proofErr w:type="spellEnd"/>
      <w:r w:rsidRPr="00836FB4">
        <w:rPr>
          <w:rFonts w:ascii="Arial" w:hAnsi="Arial" w:cs="Arial"/>
        </w:rPr>
        <w:t xml:space="preserve">, </w:t>
      </w:r>
      <w:proofErr w:type="spellStart"/>
      <w:r w:rsidRPr="00836FB4">
        <w:rPr>
          <w:rFonts w:ascii="Arial" w:hAnsi="Arial" w:cs="Arial"/>
        </w:rPr>
        <w:t>volateis</w:t>
      </w:r>
      <w:proofErr w:type="spellEnd"/>
      <w:r w:rsidRPr="00836FB4">
        <w:rPr>
          <w:rFonts w:ascii="Arial" w:hAnsi="Arial" w:cs="Arial"/>
        </w:rPr>
        <w:t xml:space="preserve"> e pós com partículas de diâmetro igual ou menor que </w:t>
      </w:r>
      <w:proofErr w:type="gramStart"/>
      <w:r w:rsidRPr="00836FB4">
        <w:rPr>
          <w:rFonts w:ascii="Arial" w:hAnsi="Arial" w:cs="Arial"/>
        </w:rPr>
        <w:t>15 micrometro</w:t>
      </w:r>
      <w:proofErr w:type="gramEnd"/>
      <w:r w:rsidRPr="00836FB4">
        <w:rPr>
          <w:rFonts w:ascii="Arial" w:hAnsi="Arial" w:cs="Arial"/>
        </w:rPr>
        <w:t>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Sensibilização dérmica: </w:t>
      </w:r>
      <w:r w:rsidRPr="00836FB4">
        <w:rPr>
          <w:rFonts w:ascii="Arial" w:hAnsi="Arial" w:cs="Arial"/>
        </w:rPr>
        <w:t>O produto não foi sensibilizante e as</w:t>
      </w:r>
      <w:proofErr w:type="gramStart"/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 xml:space="preserve"> </w:t>
      </w:r>
      <w:proofErr w:type="gramEnd"/>
      <w:r w:rsidRPr="00836FB4">
        <w:rPr>
          <w:rFonts w:ascii="Arial" w:hAnsi="Arial" w:cs="Arial"/>
        </w:rPr>
        <w:t>reações do grupo teste foram iguais as do grupo controle de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(</w:t>
      </w:r>
      <w:proofErr w:type="spellStart"/>
      <w:r w:rsidRPr="00836FB4">
        <w:rPr>
          <w:rFonts w:ascii="Arial" w:hAnsi="Arial" w:cs="Arial"/>
          <w:i/>
          <w:iCs/>
        </w:rPr>
        <w:t>Cavia</w:t>
      </w:r>
      <w:proofErr w:type="spellEnd"/>
      <w:r w:rsidRPr="00836FB4">
        <w:rPr>
          <w:rFonts w:ascii="Arial" w:hAnsi="Arial" w:cs="Arial"/>
          <w:i/>
          <w:iCs/>
        </w:rPr>
        <w:t xml:space="preserve"> </w:t>
      </w:r>
      <w:proofErr w:type="spellStart"/>
      <w:r w:rsidRPr="00836FB4">
        <w:rPr>
          <w:rFonts w:ascii="Arial" w:hAnsi="Arial" w:cs="Arial"/>
          <w:i/>
          <w:iCs/>
        </w:rPr>
        <w:t>porcellus</w:t>
      </w:r>
      <w:proofErr w:type="spellEnd"/>
      <w:r>
        <w:rPr>
          <w:rFonts w:ascii="Arial" w:hAnsi="Arial" w:cs="Arial"/>
          <w:i/>
          <w:iCs/>
        </w:rPr>
        <w:t>)</w:t>
      </w:r>
      <w:r w:rsidRPr="00836FB4">
        <w:rPr>
          <w:rFonts w:ascii="Arial" w:hAnsi="Arial" w:cs="Arial"/>
        </w:rPr>
        <w:t>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Outros estudos: </w:t>
      </w:r>
      <w:r w:rsidRPr="00836FB4">
        <w:rPr>
          <w:rFonts w:ascii="Arial" w:hAnsi="Arial" w:cs="Arial"/>
        </w:rPr>
        <w:t>Em estudos com animais de laboratório, o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produto não apresentou efeito mutagênico, teratogênico,</w:t>
      </w:r>
      <w:r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</w:rPr>
        <w:t>embriofetóxido</w:t>
      </w:r>
      <w:proofErr w:type="spellEnd"/>
      <w:r w:rsidRPr="00836FB4">
        <w:rPr>
          <w:rFonts w:ascii="Arial" w:hAnsi="Arial" w:cs="Arial"/>
        </w:rPr>
        <w:t xml:space="preserve"> e carcinogênico.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Mecanismo de Ação: </w:t>
      </w:r>
      <w:r w:rsidRPr="00836FB4">
        <w:rPr>
          <w:rFonts w:ascii="Arial" w:hAnsi="Arial" w:cs="Arial"/>
        </w:rPr>
        <w:t>Não foi perfeitamente caracterizado pelas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informações disponíveis na literatura consultada.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Aspectos toxicológicos: </w:t>
      </w:r>
      <w:r w:rsidRPr="00836FB4">
        <w:rPr>
          <w:rFonts w:ascii="Arial" w:hAnsi="Arial" w:cs="Arial"/>
        </w:rPr>
        <w:t>irritante dérmico e ocular. Pode causar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danos hepáticos e renais, quando ingerido em doses altas.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</w:rPr>
        <w:t>Absorção se da pela via oral e dérmica.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Excreção: </w:t>
      </w:r>
      <w:r w:rsidRPr="00836FB4">
        <w:rPr>
          <w:rFonts w:ascii="Arial" w:hAnsi="Arial" w:cs="Arial"/>
        </w:rPr>
        <w:t>ocorre principalmente na urina. Excreção biliar é</w:t>
      </w:r>
      <w:r>
        <w:rPr>
          <w:rFonts w:ascii="Arial" w:hAnsi="Arial" w:cs="Arial"/>
        </w:rPr>
        <w:t xml:space="preserve"> </w:t>
      </w:r>
      <w:proofErr w:type="gramStart"/>
      <w:r w:rsidRPr="00836FB4">
        <w:rPr>
          <w:rFonts w:ascii="Arial" w:hAnsi="Arial" w:cs="Arial"/>
        </w:rPr>
        <w:t>limitado</w:t>
      </w:r>
      <w:proofErr w:type="gramEnd"/>
      <w:r w:rsidRPr="00836FB4">
        <w:rPr>
          <w:rFonts w:ascii="Arial" w:hAnsi="Arial" w:cs="Arial"/>
        </w:rPr>
        <w:t xml:space="preserve"> e a eliminação através de ar exalado é muito baixa.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12. INFORMAÇÕES ECOLÓGICAS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Efeitos ambientais, comportamentos e impactos do produto: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Mobilidade: </w:t>
      </w:r>
      <w:r w:rsidRPr="00836FB4">
        <w:rPr>
          <w:rFonts w:ascii="Arial" w:hAnsi="Arial" w:cs="Arial"/>
        </w:rPr>
        <w:t xml:space="preserve">O resultado apresentou nos solos </w:t>
      </w:r>
      <w:proofErr w:type="spellStart"/>
      <w:r w:rsidRPr="00836FB4">
        <w:rPr>
          <w:rFonts w:ascii="Arial" w:hAnsi="Arial" w:cs="Arial"/>
        </w:rPr>
        <w:t>Gley</w:t>
      </w:r>
      <w:proofErr w:type="spellEnd"/>
      <w:r w:rsidRPr="00836FB4"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</w:rPr>
        <w:t>Humico</w:t>
      </w:r>
      <w:proofErr w:type="spellEnd"/>
      <w:r w:rsidRPr="00836FB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</w:rPr>
        <w:t>Latossolo</w:t>
      </w:r>
      <w:proofErr w:type="spellEnd"/>
      <w:r w:rsidRPr="00836FB4">
        <w:rPr>
          <w:rFonts w:ascii="Arial" w:hAnsi="Arial" w:cs="Arial"/>
        </w:rPr>
        <w:t xml:space="preserve"> Vermelho Escuro </w:t>
      </w:r>
      <w:proofErr w:type="spellStart"/>
      <w:r w:rsidRPr="00836FB4">
        <w:rPr>
          <w:rFonts w:ascii="Arial" w:hAnsi="Arial" w:cs="Arial"/>
        </w:rPr>
        <w:t>Rf</w:t>
      </w:r>
      <w:proofErr w:type="spellEnd"/>
      <w:r w:rsidRPr="00836FB4">
        <w:rPr>
          <w:rFonts w:ascii="Arial" w:hAnsi="Arial" w:cs="Arial"/>
        </w:rPr>
        <w:t xml:space="preserve"> = 0,00 (zero) e em solo </w:t>
      </w:r>
      <w:proofErr w:type="spellStart"/>
      <w:r w:rsidRPr="00836FB4">
        <w:rPr>
          <w:rFonts w:ascii="Arial" w:hAnsi="Arial" w:cs="Arial"/>
        </w:rPr>
        <w:t>arenoargiloso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</w:rPr>
        <w:t>Rf</w:t>
      </w:r>
      <w:proofErr w:type="spellEnd"/>
      <w:r w:rsidRPr="00836FB4">
        <w:rPr>
          <w:rFonts w:ascii="Arial" w:hAnsi="Arial" w:cs="Arial"/>
        </w:rPr>
        <w:t xml:space="preserve"> = 0,10.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>Persistência/</w:t>
      </w:r>
      <w:proofErr w:type="spellStart"/>
      <w:r w:rsidRPr="00836FB4">
        <w:rPr>
          <w:rFonts w:ascii="Arial" w:hAnsi="Arial" w:cs="Arial"/>
          <w:b/>
          <w:bCs/>
        </w:rPr>
        <w:t>degrabilidade</w:t>
      </w:r>
      <w:proofErr w:type="spellEnd"/>
      <w:r w:rsidRPr="00836FB4">
        <w:rPr>
          <w:rFonts w:ascii="Arial" w:hAnsi="Arial" w:cs="Arial"/>
          <w:b/>
          <w:bCs/>
        </w:rPr>
        <w:t xml:space="preserve">: </w:t>
      </w:r>
      <w:r w:rsidRPr="00836FB4">
        <w:rPr>
          <w:rFonts w:ascii="Arial" w:hAnsi="Arial" w:cs="Arial"/>
        </w:rPr>
        <w:t>A taxa de mineralização no solo</w:t>
      </w:r>
      <w:r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</w:rPr>
        <w:t>Gley</w:t>
      </w:r>
      <w:proofErr w:type="spellEnd"/>
      <w:r w:rsidRPr="00836FB4"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</w:rPr>
        <w:t>Humico</w:t>
      </w:r>
      <w:proofErr w:type="spellEnd"/>
      <w:r w:rsidRPr="00836FB4">
        <w:rPr>
          <w:rFonts w:ascii="Arial" w:hAnsi="Arial" w:cs="Arial"/>
        </w:rPr>
        <w:t xml:space="preserve"> foi 32,9% para a dose de 4,54 g/g de solo e 31,5%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 xml:space="preserve">para 45,4 g/g de solo. O </w:t>
      </w:r>
      <w:proofErr w:type="spellStart"/>
      <w:r w:rsidRPr="00836FB4">
        <w:rPr>
          <w:rFonts w:ascii="Arial" w:hAnsi="Arial" w:cs="Arial"/>
        </w:rPr>
        <w:t>Latossolo</w:t>
      </w:r>
      <w:proofErr w:type="spellEnd"/>
      <w:r w:rsidRPr="00836FB4">
        <w:rPr>
          <w:rFonts w:ascii="Arial" w:hAnsi="Arial" w:cs="Arial"/>
        </w:rPr>
        <w:t xml:space="preserve"> Vermelho Escuro apresentou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taxa de mineralização de 15,7% para a concentração de 4,54 g/g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36FB4">
        <w:rPr>
          <w:rFonts w:ascii="Arial" w:hAnsi="Arial" w:cs="Arial"/>
        </w:rPr>
        <w:t>de</w:t>
      </w:r>
      <w:proofErr w:type="gramEnd"/>
      <w:r w:rsidRPr="00836FB4">
        <w:rPr>
          <w:rFonts w:ascii="Arial" w:hAnsi="Arial" w:cs="Arial"/>
        </w:rPr>
        <w:t xml:space="preserve"> solo e 19,8 para 45,4 g/g de solo.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Bioacumulação: </w:t>
      </w:r>
      <w:r w:rsidRPr="00836FB4">
        <w:rPr>
          <w:rFonts w:ascii="Arial" w:hAnsi="Arial" w:cs="Arial"/>
        </w:rPr>
        <w:t>o produto não é bioacumulativo nos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organismos aquáticos.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lastRenderedPageBreak/>
        <w:t xml:space="preserve">Comportamento esperado: </w:t>
      </w:r>
      <w:r w:rsidRPr="00836FB4">
        <w:rPr>
          <w:rFonts w:ascii="Arial" w:hAnsi="Arial" w:cs="Arial"/>
        </w:rPr>
        <w:t>o produto se degrada por via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microbiana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Impacto ambiental: </w:t>
      </w:r>
      <w:r w:rsidRPr="00836FB4">
        <w:rPr>
          <w:rFonts w:ascii="Arial" w:hAnsi="Arial" w:cs="Arial"/>
        </w:rPr>
        <w:t>Classificação quanto ao Potencial de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Periculosidade Ambiental - Produto Perigoso - Classe III.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836FB4">
        <w:rPr>
          <w:rFonts w:ascii="Arial" w:hAnsi="Arial" w:cs="Arial"/>
          <w:b/>
          <w:bCs/>
        </w:rPr>
        <w:t>Ecotoxicidade</w:t>
      </w:r>
      <w:proofErr w:type="spellEnd"/>
      <w:r w:rsidRPr="00836FB4">
        <w:rPr>
          <w:rFonts w:ascii="Arial" w:hAnsi="Arial" w:cs="Arial"/>
          <w:b/>
          <w:bCs/>
        </w:rPr>
        <w:t xml:space="preserve">: </w:t>
      </w:r>
      <w:r w:rsidRPr="00836FB4">
        <w:rPr>
          <w:rFonts w:ascii="Arial" w:hAnsi="Arial" w:cs="Arial"/>
        </w:rPr>
        <w:t>peixes</w:t>
      </w:r>
      <w:r w:rsidRPr="00836FB4">
        <w:rPr>
          <w:rFonts w:ascii="Arial" w:hAnsi="Arial" w:cs="Arial"/>
          <w:b/>
          <w:bCs/>
        </w:rPr>
        <w:t xml:space="preserve">: </w:t>
      </w:r>
      <w:r w:rsidRPr="00836FB4">
        <w:rPr>
          <w:rFonts w:ascii="Arial" w:hAnsi="Arial" w:cs="Arial"/>
        </w:rPr>
        <w:t>CL(I</w:t>
      </w:r>
      <w:proofErr w:type="gramStart"/>
      <w:r w:rsidRPr="00836FB4">
        <w:rPr>
          <w:rFonts w:ascii="Arial" w:hAnsi="Arial" w:cs="Arial"/>
        </w:rPr>
        <w:t>) ;</w:t>
      </w:r>
      <w:proofErr w:type="gramEnd"/>
      <w:r w:rsidRPr="00836FB4">
        <w:rPr>
          <w:rFonts w:ascii="Arial" w:hAnsi="Arial" w:cs="Arial"/>
        </w:rPr>
        <w:t>96h = 0,79(0,39-1,62) mg/L para 50</w:t>
      </w:r>
      <w:r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  <w:i/>
          <w:iCs/>
        </w:rPr>
        <w:t>Brachydanio</w:t>
      </w:r>
      <w:proofErr w:type="spellEnd"/>
      <w:r w:rsidRPr="00836FB4">
        <w:rPr>
          <w:rFonts w:ascii="Arial" w:hAnsi="Arial" w:cs="Arial"/>
          <w:i/>
          <w:iCs/>
        </w:rPr>
        <w:t xml:space="preserve"> </w:t>
      </w:r>
      <w:proofErr w:type="spellStart"/>
      <w:r w:rsidRPr="00836FB4">
        <w:rPr>
          <w:rFonts w:ascii="Arial" w:hAnsi="Arial" w:cs="Arial"/>
          <w:i/>
          <w:iCs/>
        </w:rPr>
        <w:t>rerio</w:t>
      </w:r>
      <w:proofErr w:type="spellEnd"/>
      <w:r w:rsidRPr="00836FB4">
        <w:rPr>
          <w:rFonts w:ascii="Arial" w:hAnsi="Arial" w:cs="Arial"/>
        </w:rPr>
        <w:t>; CE(I) ;48h = 1,41 (0,86-2,31) mg/L para 50</w:t>
      </w:r>
      <w:r>
        <w:rPr>
          <w:rFonts w:ascii="Arial" w:hAnsi="Arial" w:cs="Arial"/>
        </w:rPr>
        <w:t xml:space="preserve"> </w:t>
      </w:r>
      <w:proofErr w:type="spellStart"/>
      <w:r w:rsidRPr="00836FB4">
        <w:rPr>
          <w:rFonts w:ascii="Arial" w:hAnsi="Arial" w:cs="Arial"/>
          <w:i/>
          <w:iCs/>
        </w:rPr>
        <w:t>Daphnia</w:t>
      </w:r>
      <w:proofErr w:type="spellEnd"/>
      <w:r w:rsidRPr="00836FB4">
        <w:rPr>
          <w:rFonts w:ascii="Arial" w:hAnsi="Arial" w:cs="Arial"/>
          <w:i/>
          <w:iCs/>
        </w:rPr>
        <w:t xml:space="preserve"> </w:t>
      </w:r>
      <w:proofErr w:type="spellStart"/>
      <w:r w:rsidRPr="00836FB4">
        <w:rPr>
          <w:rFonts w:ascii="Arial" w:hAnsi="Arial" w:cs="Arial"/>
          <w:i/>
          <w:iCs/>
        </w:rPr>
        <w:t>similis</w:t>
      </w:r>
      <w:proofErr w:type="spellEnd"/>
      <w:r w:rsidRPr="00836FB4">
        <w:rPr>
          <w:rFonts w:ascii="Arial" w:hAnsi="Arial" w:cs="Arial"/>
        </w:rPr>
        <w:t xml:space="preserve">; DL50 48 h para </w:t>
      </w:r>
      <w:proofErr w:type="spellStart"/>
      <w:r w:rsidRPr="00836FB4">
        <w:rPr>
          <w:rFonts w:ascii="Arial" w:hAnsi="Arial" w:cs="Arial"/>
        </w:rPr>
        <w:t>Abelhs</w:t>
      </w:r>
      <w:proofErr w:type="spellEnd"/>
      <w:r w:rsidRPr="00836FB4">
        <w:rPr>
          <w:rFonts w:ascii="Arial" w:hAnsi="Arial" w:cs="Arial"/>
        </w:rPr>
        <w:t xml:space="preserve"> (</w:t>
      </w:r>
      <w:proofErr w:type="spellStart"/>
      <w:r w:rsidRPr="00836FB4">
        <w:rPr>
          <w:rFonts w:ascii="Arial" w:hAnsi="Arial" w:cs="Arial"/>
          <w:i/>
          <w:iCs/>
        </w:rPr>
        <w:t>Aphis</w:t>
      </w:r>
      <w:proofErr w:type="spellEnd"/>
      <w:r w:rsidRPr="00836FB4">
        <w:rPr>
          <w:rFonts w:ascii="Arial" w:hAnsi="Arial" w:cs="Arial"/>
          <w:i/>
          <w:iCs/>
        </w:rPr>
        <w:t xml:space="preserve"> </w:t>
      </w:r>
      <w:proofErr w:type="spellStart"/>
      <w:r w:rsidRPr="00836FB4">
        <w:rPr>
          <w:rFonts w:ascii="Arial" w:hAnsi="Arial" w:cs="Arial"/>
          <w:i/>
          <w:iCs/>
        </w:rPr>
        <w:t>mellifera</w:t>
      </w:r>
      <w:proofErr w:type="spellEnd"/>
      <w:r w:rsidRPr="00836FB4">
        <w:rPr>
          <w:rFonts w:ascii="Arial" w:hAnsi="Arial" w:cs="Arial"/>
          <w:i/>
          <w:iCs/>
        </w:rPr>
        <w:t xml:space="preserve"> </w:t>
      </w:r>
      <w:r w:rsidRPr="00836FB4">
        <w:rPr>
          <w:rFonts w:ascii="Arial" w:hAnsi="Arial" w:cs="Arial"/>
        </w:rPr>
        <w:t>) &gt; 100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g/abelha; DL 50 para Aves = maior que 2000 mg/kg.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13. CONSIDERAÇÕES SOBRE TRATAMENTO E DISPOSIÇÃO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</w:rPr>
        <w:t>Não utilizar embalagens vazias. Seguir diretrizes do "Programa de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 xml:space="preserve">Destinação de Embalagens Vazias de </w:t>
      </w:r>
      <w:r>
        <w:rPr>
          <w:rFonts w:ascii="Arial" w:hAnsi="Arial" w:cs="Arial"/>
        </w:rPr>
        <w:t>Domissanitários</w:t>
      </w:r>
      <w:r w:rsidRPr="00836FB4">
        <w:rPr>
          <w:rFonts w:ascii="Arial" w:hAnsi="Arial" w:cs="Arial"/>
        </w:rPr>
        <w:t>, recomendações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 xml:space="preserve">técnicas do </w:t>
      </w:r>
      <w:r w:rsidRPr="00FC5DB6">
        <w:rPr>
          <w:rFonts w:ascii="Arial" w:hAnsi="Arial" w:cs="Arial"/>
          <w:b/>
        </w:rPr>
        <w:t>IBAMA</w:t>
      </w:r>
      <w:r w:rsidRPr="00836FB4">
        <w:rPr>
          <w:rFonts w:ascii="Arial" w:hAnsi="Arial" w:cs="Arial"/>
        </w:rPr>
        <w:t xml:space="preserve">, normas </w:t>
      </w:r>
      <w:r w:rsidRPr="00FC5DB6">
        <w:rPr>
          <w:rFonts w:ascii="Arial" w:hAnsi="Arial" w:cs="Arial"/>
          <w:b/>
        </w:rPr>
        <w:t>ABNT.</w:t>
      </w:r>
      <w:r>
        <w:rPr>
          <w:rFonts w:ascii="Arial" w:hAnsi="Arial" w:cs="Arial"/>
        </w:rPr>
        <w:t xml:space="preserve"> De acordo com a legislação ou entregar nos órgãos ambientais das prefeituras das cidades.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14. INFORMAÇÕES SOBRE TRANSPORTE TERRESTRES,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073641" w:rsidRDefault="00073641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”</w:t>
      </w:r>
      <w:r w:rsidR="00266CEF" w:rsidRPr="00073641">
        <w:rPr>
          <w:rFonts w:ascii="Arial" w:hAnsi="Arial" w:cs="Arial"/>
          <w:bCs/>
        </w:rPr>
        <w:t>PRODUTO NÃO ENQUADRADO NA PORTARIA EM VIGOR SOBRE O TRANSPORTE DE PRODUTOS PERIGOSOS</w:t>
      </w:r>
      <w:r>
        <w:rPr>
          <w:rFonts w:ascii="Arial" w:hAnsi="Arial" w:cs="Arial"/>
          <w:bCs/>
        </w:rPr>
        <w:t>”</w:t>
      </w:r>
      <w:r w:rsidR="00266CEF" w:rsidRPr="00073641">
        <w:rPr>
          <w:rFonts w:ascii="Arial" w:hAnsi="Arial" w:cs="Arial"/>
          <w:bCs/>
        </w:rPr>
        <w:t xml:space="preserve">.  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15. REGULAMENTACÕES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>Lei 7802/89 (Lei dos agrotóxicos) e normas complementares, Portaria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>MT nº 204/97.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16. OUTRAS INFORMAÇÕES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FB4">
        <w:rPr>
          <w:rFonts w:ascii="Arial" w:hAnsi="Arial" w:cs="Arial"/>
          <w:b/>
          <w:bCs/>
        </w:rPr>
        <w:t xml:space="preserve">Referências bibliográficas: </w:t>
      </w:r>
      <w:r w:rsidRPr="00836FB4">
        <w:rPr>
          <w:rFonts w:ascii="Arial" w:hAnsi="Arial" w:cs="Arial"/>
        </w:rPr>
        <w:t>Dados de registro no Ministério da</w:t>
      </w:r>
      <w:r>
        <w:rPr>
          <w:rFonts w:ascii="Arial" w:hAnsi="Arial" w:cs="Arial"/>
        </w:rPr>
        <w:t xml:space="preserve"> </w:t>
      </w:r>
      <w:r w:rsidRPr="00836FB4">
        <w:rPr>
          <w:rFonts w:ascii="Arial" w:hAnsi="Arial" w:cs="Arial"/>
        </w:rPr>
        <w:t xml:space="preserve">Agricultura, IBAMA e Ministério da Saúde; The </w:t>
      </w:r>
      <w:proofErr w:type="spellStart"/>
      <w:r w:rsidRPr="00836FB4">
        <w:rPr>
          <w:rFonts w:ascii="Arial" w:hAnsi="Arial" w:cs="Arial"/>
        </w:rPr>
        <w:t>Pesticide</w:t>
      </w:r>
      <w:proofErr w:type="spellEnd"/>
      <w:r w:rsidRPr="00836FB4">
        <w:rPr>
          <w:rFonts w:ascii="Arial" w:hAnsi="Arial" w:cs="Arial"/>
        </w:rPr>
        <w:t xml:space="preserve"> Manual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 xml:space="preserve">Esta Ficha foi elaborada por </w:t>
      </w:r>
      <w:r w:rsidRPr="009E3F50">
        <w:rPr>
          <w:rFonts w:ascii="Arial" w:hAnsi="Arial" w:cs="Arial"/>
          <w:b/>
          <w:color w:val="00B0F0"/>
          <w:sz w:val="21"/>
          <w:szCs w:val="21"/>
        </w:rPr>
        <w:t xml:space="preserve">BIOCARB </w:t>
      </w:r>
      <w:proofErr w:type="gramStart"/>
      <w:r w:rsidRPr="009E3F50">
        <w:rPr>
          <w:rFonts w:ascii="Arial" w:hAnsi="Arial" w:cs="Arial"/>
          <w:b/>
          <w:color w:val="00B0F0"/>
          <w:sz w:val="21"/>
          <w:szCs w:val="21"/>
        </w:rPr>
        <w:t>INDUSTRIA</w:t>
      </w:r>
      <w:proofErr w:type="gramEnd"/>
      <w:r w:rsidRPr="009E3F50">
        <w:rPr>
          <w:rFonts w:ascii="Arial" w:hAnsi="Arial" w:cs="Arial"/>
          <w:b/>
          <w:color w:val="00B0F0"/>
          <w:sz w:val="21"/>
          <w:szCs w:val="21"/>
        </w:rPr>
        <w:t xml:space="preserve"> QUIMICA LTDA</w:t>
      </w:r>
      <w:r>
        <w:rPr>
          <w:rFonts w:ascii="ArialMT" w:hAnsi="ArialMT" w:cs="ArialMT"/>
          <w:color w:val="0000FF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,  As informações desta FISPQ representam os dados atuais e refletem com exatidão o nosso melhor conhecimento para o manuseio apropriado deste produto de acordo com as especificações constantes no rótulo e bula. Quaisquer outros usos do produto que não os recomendados, serão de responsabilidade do usuário.</w:t>
      </w:r>
    </w:p>
    <w:p w:rsidR="00266CEF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6FB4">
        <w:rPr>
          <w:rFonts w:ascii="Arial" w:hAnsi="Arial" w:cs="Arial"/>
          <w:b/>
          <w:bCs/>
        </w:rPr>
        <w:t>GLOSSÁRIO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6FB4">
        <w:rPr>
          <w:rFonts w:ascii="Arial" w:hAnsi="Arial" w:cs="Arial"/>
        </w:rPr>
        <w:t>ND - Não disponível NA - Não aplicável NE - Não estabelecido</w:t>
      </w: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66CEF" w:rsidRPr="00836FB4" w:rsidRDefault="00266CEF" w:rsidP="0026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66CEF" w:rsidRPr="003619C5" w:rsidRDefault="00266CEF" w:rsidP="00266CEF">
      <w:pPr>
        <w:tabs>
          <w:tab w:val="left" w:pos="6255"/>
        </w:tabs>
        <w:rPr>
          <w:rFonts w:ascii="Arial" w:hAnsi="Arial" w:cs="Arial"/>
        </w:rPr>
      </w:pPr>
      <w:r w:rsidRPr="00836FB4">
        <w:rPr>
          <w:rFonts w:ascii="Arial" w:hAnsi="Arial" w:cs="Arial"/>
        </w:rPr>
        <w:tab/>
      </w:r>
      <w:r w:rsidR="00357E0A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-7.35pt;margin-top:285.7pt;width:462pt;height:53.65pt;z-index:25167360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266CEF" w:rsidRPr="00155108" w:rsidRDefault="00266CEF" w:rsidP="00266C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Data da elaboração: Dezembro/2000                                                         Data da revisão 20/08/2007</w:t>
                  </w:r>
                </w:p>
                <w:p w:rsidR="00266CEF" w:rsidRPr="00155108" w:rsidRDefault="00266CEF" w:rsidP="00266C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Número de revisão: (01)</w:t>
                  </w:r>
                </w:p>
              </w:txbxContent>
            </v:textbox>
          </v:shape>
        </w:pict>
      </w:r>
    </w:p>
    <w:p w:rsidR="00855709" w:rsidRDefault="00855709"/>
    <w:sectPr w:rsidR="00855709" w:rsidSect="006701A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0A" w:rsidRDefault="00357E0A" w:rsidP="00DE39A2">
      <w:pPr>
        <w:spacing w:after="0" w:line="240" w:lineRule="auto"/>
      </w:pPr>
      <w:r>
        <w:separator/>
      </w:r>
    </w:p>
  </w:endnote>
  <w:endnote w:type="continuationSeparator" w:id="0">
    <w:p w:rsidR="00357E0A" w:rsidRDefault="00357E0A" w:rsidP="00DE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EA" w:rsidRDefault="005D6468" w:rsidP="003135EA">
    <w:pPr>
      <w:rPr>
        <w:rFonts w:ascii="Arial" w:hAnsi="Arial" w:cs="Arial"/>
        <w:sz w:val="20"/>
        <w:szCs w:val="20"/>
      </w:rPr>
    </w:pPr>
    <w:r w:rsidRPr="00155108">
      <w:rPr>
        <w:rFonts w:ascii="Arial" w:hAnsi="Arial" w:cs="Arial"/>
        <w:sz w:val="20"/>
        <w:szCs w:val="20"/>
      </w:rPr>
      <w:t xml:space="preserve">Data da elaboração: Dezembro/2000                                                      Data da revisão </w:t>
    </w:r>
    <w:r w:rsidR="003135EA">
      <w:rPr>
        <w:rFonts w:ascii="Arial" w:hAnsi="Arial" w:cs="Arial"/>
        <w:sz w:val="20"/>
        <w:szCs w:val="20"/>
      </w:rPr>
      <w:t>17/06/2015</w:t>
    </w:r>
  </w:p>
  <w:p w:rsidR="005D6468" w:rsidRPr="00155108" w:rsidRDefault="003135EA" w:rsidP="005D6468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Número de revisão: (15</w:t>
    </w:r>
    <w:r w:rsidR="005D6468" w:rsidRPr="00155108">
      <w:rPr>
        <w:rFonts w:ascii="Arial" w:hAnsi="Arial" w:cs="Arial"/>
        <w:sz w:val="20"/>
        <w:szCs w:val="20"/>
      </w:rPr>
      <w:t>)</w:t>
    </w:r>
  </w:p>
  <w:p w:rsidR="005D6468" w:rsidRDefault="005D64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0A" w:rsidRDefault="00357E0A" w:rsidP="00DE39A2">
      <w:pPr>
        <w:spacing w:after="0" w:line="240" w:lineRule="auto"/>
      </w:pPr>
      <w:r>
        <w:separator/>
      </w:r>
    </w:p>
  </w:footnote>
  <w:footnote w:type="continuationSeparator" w:id="0">
    <w:p w:rsidR="00357E0A" w:rsidRDefault="00357E0A" w:rsidP="00DE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94975"/>
      <w:docPartObj>
        <w:docPartGallery w:val="Page Numbers (Top of Page)"/>
        <w:docPartUnique/>
      </w:docPartObj>
    </w:sdtPr>
    <w:sdtEndPr/>
    <w:sdtContent>
      <w:p w:rsidR="00C52326" w:rsidRDefault="00357E0A" w:rsidP="005D6468">
        <w:pPr>
          <w:pStyle w:val="Cabealho"/>
        </w:pPr>
        <w:r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margin-left:121.2pt;margin-top:-22.65pt;width:247.5pt;height:131.1pt;z-index:251658240;mso-height-percent:200;mso-position-horizontal-relative:text;mso-position-vertical-relative:text;mso-height-percent:200;mso-width-relative:margin;mso-height-relative:margin" stroked="f">
              <v:textbox style="mso-next-textbox:#_x0000_s2049;mso-fit-shape-to-text:t">
                <w:txbxContent>
                  <w:p w:rsidR="005D6468" w:rsidRPr="00571A7C" w:rsidRDefault="005D6468" w:rsidP="005D6468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FICHA DE IN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FORMAÇÃO</w:t>
                    </w: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E SEGURANÇA DE PRODUTOS QUÍMICOS – FISPQ.</w:t>
                    </w:r>
                  </w:p>
                  <w:p w:rsidR="005D6468" w:rsidRPr="00571A7C" w:rsidRDefault="005D6468" w:rsidP="005D6468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5D6468" w:rsidRPr="00AC71EE" w:rsidRDefault="005D6468" w:rsidP="005D6468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Produto:</w:t>
                    </w:r>
                    <w:r w:rsidRPr="00571A7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AC71E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GLIFOSATO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C &amp; J -</w:t>
                    </w:r>
                    <w:proofErr w:type="gramStart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</w:t>
                    </w:r>
                    <w:proofErr w:type="gramEnd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2%</w:t>
                    </w:r>
                  </w:p>
                </w:txbxContent>
              </v:textbox>
            </v:shape>
          </w:pict>
        </w:r>
        <w:r w:rsidR="005D6468" w:rsidRPr="005D6468">
          <w:rPr>
            <w:noProof/>
            <w:lang w:eastAsia="pt-BR"/>
          </w:rPr>
          <w:drawing>
            <wp:inline distT="0" distB="0" distL="0" distR="0">
              <wp:extent cx="1552575" cy="1162050"/>
              <wp:effectExtent l="19050" t="0" r="9525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16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D6468">
          <w:tab/>
        </w:r>
        <w:r w:rsidR="005D6468">
          <w:tab/>
        </w:r>
        <w:r w:rsidR="00E927C6">
          <w:t xml:space="preserve">Página </w:t>
        </w:r>
        <w:r w:rsidR="00DE39A2">
          <w:rPr>
            <w:b/>
            <w:sz w:val="24"/>
            <w:szCs w:val="24"/>
          </w:rPr>
          <w:fldChar w:fldCharType="begin"/>
        </w:r>
        <w:r w:rsidR="00E927C6">
          <w:rPr>
            <w:b/>
          </w:rPr>
          <w:instrText>PAGE</w:instrText>
        </w:r>
        <w:r w:rsidR="00DE39A2">
          <w:rPr>
            <w:b/>
            <w:sz w:val="24"/>
            <w:szCs w:val="24"/>
          </w:rPr>
          <w:fldChar w:fldCharType="separate"/>
        </w:r>
        <w:r w:rsidR="003135EA">
          <w:rPr>
            <w:b/>
            <w:noProof/>
          </w:rPr>
          <w:t>1</w:t>
        </w:r>
        <w:r w:rsidR="00DE39A2">
          <w:rPr>
            <w:b/>
            <w:sz w:val="24"/>
            <w:szCs w:val="24"/>
          </w:rPr>
          <w:fldChar w:fldCharType="end"/>
        </w:r>
        <w:r w:rsidR="00E927C6">
          <w:t xml:space="preserve"> de </w:t>
        </w:r>
        <w:r w:rsidR="00DE39A2">
          <w:rPr>
            <w:b/>
            <w:sz w:val="24"/>
            <w:szCs w:val="24"/>
          </w:rPr>
          <w:fldChar w:fldCharType="begin"/>
        </w:r>
        <w:r w:rsidR="00E927C6">
          <w:rPr>
            <w:b/>
          </w:rPr>
          <w:instrText>NUMPAGES</w:instrText>
        </w:r>
        <w:r w:rsidR="00DE39A2">
          <w:rPr>
            <w:b/>
            <w:sz w:val="24"/>
            <w:szCs w:val="24"/>
          </w:rPr>
          <w:fldChar w:fldCharType="separate"/>
        </w:r>
        <w:r w:rsidR="003135EA">
          <w:rPr>
            <w:b/>
            <w:noProof/>
          </w:rPr>
          <w:t>6</w:t>
        </w:r>
        <w:r w:rsidR="00DE39A2">
          <w:rPr>
            <w:b/>
            <w:sz w:val="24"/>
            <w:szCs w:val="24"/>
          </w:rPr>
          <w:fldChar w:fldCharType="end"/>
        </w:r>
      </w:p>
    </w:sdtContent>
  </w:sdt>
  <w:p w:rsidR="00C52326" w:rsidRDefault="00357E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CEF"/>
    <w:rsid w:val="00073641"/>
    <w:rsid w:val="00266CEF"/>
    <w:rsid w:val="003135EA"/>
    <w:rsid w:val="00357E0A"/>
    <w:rsid w:val="005D6468"/>
    <w:rsid w:val="00793EC8"/>
    <w:rsid w:val="00855709"/>
    <w:rsid w:val="00DE39A2"/>
    <w:rsid w:val="00E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6CE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6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CEF"/>
  </w:style>
  <w:style w:type="table" w:styleId="Tabelacomgrade">
    <w:name w:val="Table Grid"/>
    <w:basedOn w:val="Tabelanormal"/>
    <w:uiPriority w:val="59"/>
    <w:rsid w:val="00266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CE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D6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arb@biocarb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4295-234E-4D81-A1FF-64FBD2CD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Maq</cp:lastModifiedBy>
  <cp:revision>3</cp:revision>
  <dcterms:created xsi:type="dcterms:W3CDTF">2013-03-11T14:42:00Z</dcterms:created>
  <dcterms:modified xsi:type="dcterms:W3CDTF">2015-06-17T19:13:00Z</dcterms:modified>
</cp:coreProperties>
</file>