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1. IDENTIFICAÇÃO DO PRODUTO E DA EMPRESA</w:t>
      </w:r>
    </w:p>
    <w:p w:rsidR="00F84E5F" w:rsidRDefault="00F84E5F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Nome do Produto:</w:t>
      </w:r>
      <w:proofErr w:type="gramStart"/>
      <w:r w:rsidRPr="00F84E5F">
        <w:rPr>
          <w:rFonts w:ascii="Arial" w:hAnsi="Arial" w:cs="Arial"/>
          <w:color w:val="000000"/>
        </w:rPr>
        <w:t xml:space="preserve">  </w:t>
      </w:r>
      <w:proofErr w:type="gramEnd"/>
      <w:r w:rsidRPr="00F84E5F">
        <w:rPr>
          <w:rFonts w:ascii="Arial" w:hAnsi="Arial" w:cs="Arial"/>
          <w:color w:val="000000"/>
        </w:rPr>
        <w:t xml:space="preserve">Malatol </w:t>
      </w:r>
      <w:r w:rsidR="009A0412">
        <w:rPr>
          <w:rFonts w:ascii="Arial" w:hAnsi="Arial" w:cs="Arial"/>
          <w:color w:val="000000"/>
        </w:rPr>
        <w:t>1000</w:t>
      </w:r>
      <w:r w:rsidRPr="00F84E5F">
        <w:rPr>
          <w:rFonts w:ascii="Arial" w:hAnsi="Arial" w:cs="Arial"/>
          <w:color w:val="000000"/>
        </w:rPr>
        <w:t xml:space="preserve"> CE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Aplicação</w:t>
      </w:r>
      <w:r w:rsidR="00ED475C">
        <w:rPr>
          <w:rFonts w:ascii="Arial" w:hAnsi="Arial" w:cs="Arial"/>
          <w:color w:val="000000"/>
        </w:rPr>
        <w:t>: Ins</w:t>
      </w:r>
      <w:r w:rsidRPr="00F84E5F">
        <w:rPr>
          <w:rFonts w:ascii="Arial" w:hAnsi="Arial" w:cs="Arial"/>
          <w:color w:val="000000"/>
        </w:rPr>
        <w:t>eticida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Fabricante:</w:t>
      </w:r>
      <w:proofErr w:type="gramStart"/>
      <w:r w:rsidRPr="00F84E5F">
        <w:rPr>
          <w:rFonts w:ascii="Arial" w:hAnsi="Arial" w:cs="Arial"/>
          <w:color w:val="000000"/>
        </w:rPr>
        <w:t xml:space="preserve">  </w:t>
      </w:r>
      <w:proofErr w:type="spellStart"/>
      <w:proofErr w:type="gramEnd"/>
      <w:r w:rsidRPr="00F84E5F">
        <w:rPr>
          <w:rFonts w:ascii="Arial" w:hAnsi="Arial" w:cs="Arial"/>
          <w:color w:val="000000"/>
        </w:rPr>
        <w:t>Bio</w:t>
      </w:r>
      <w:proofErr w:type="spellEnd"/>
      <w:r w:rsidRPr="00F84E5F">
        <w:rPr>
          <w:rFonts w:ascii="Arial" w:hAnsi="Arial" w:cs="Arial"/>
          <w:color w:val="000000"/>
        </w:rPr>
        <w:t xml:space="preserve"> </w:t>
      </w:r>
      <w:proofErr w:type="spellStart"/>
      <w:r w:rsidRPr="00F84E5F">
        <w:rPr>
          <w:rFonts w:ascii="Arial" w:hAnsi="Arial" w:cs="Arial"/>
          <w:color w:val="000000"/>
        </w:rPr>
        <w:t>Carb</w:t>
      </w:r>
      <w:proofErr w:type="spellEnd"/>
      <w:r w:rsidRPr="00F84E5F">
        <w:rPr>
          <w:rFonts w:ascii="Arial" w:hAnsi="Arial" w:cs="Arial"/>
          <w:color w:val="000000"/>
        </w:rPr>
        <w:t xml:space="preserve"> Industria Química Ltda. 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End.:</w:t>
      </w:r>
      <w:r w:rsidRPr="00F84E5F">
        <w:rPr>
          <w:rFonts w:ascii="Arial" w:hAnsi="Arial" w:cs="Arial"/>
          <w:color w:val="000000"/>
        </w:rPr>
        <w:t xml:space="preserve"> R, Luiz Valenza, 100 – Bairro </w:t>
      </w:r>
      <w:proofErr w:type="spellStart"/>
      <w:r w:rsidRPr="00F84E5F">
        <w:rPr>
          <w:rFonts w:ascii="Arial" w:hAnsi="Arial" w:cs="Arial"/>
          <w:color w:val="000000"/>
        </w:rPr>
        <w:t>Cic</w:t>
      </w:r>
      <w:proofErr w:type="spellEnd"/>
      <w:r w:rsidRPr="00F84E5F">
        <w:rPr>
          <w:rFonts w:ascii="Arial" w:hAnsi="Arial" w:cs="Arial"/>
          <w:color w:val="000000"/>
        </w:rPr>
        <w:t>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F84E5F">
        <w:rPr>
          <w:rFonts w:ascii="Arial" w:hAnsi="Arial" w:cs="Arial"/>
          <w:b/>
          <w:color w:val="000000"/>
        </w:rPr>
        <w:t>Cep</w:t>
      </w:r>
      <w:proofErr w:type="spellEnd"/>
      <w:r w:rsidRPr="00F84E5F">
        <w:rPr>
          <w:rFonts w:ascii="Arial" w:hAnsi="Arial" w:cs="Arial"/>
          <w:color w:val="000000"/>
        </w:rPr>
        <w:t>: 81350-080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 xml:space="preserve"> 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E-mail</w:t>
      </w:r>
      <w:r w:rsidRPr="00F84E5F">
        <w:rPr>
          <w:rFonts w:ascii="Arial" w:hAnsi="Arial" w:cs="Arial"/>
          <w:color w:val="000000"/>
        </w:rPr>
        <w:t xml:space="preserve">: </w:t>
      </w:r>
      <w:hyperlink r:id="rId7" w:history="1">
        <w:r w:rsidRPr="00F84E5F">
          <w:rPr>
            <w:rStyle w:val="Hyperlink"/>
            <w:rFonts w:ascii="Arial" w:hAnsi="Arial" w:cs="Arial"/>
            <w:u w:val="none"/>
          </w:rPr>
          <w:t>biocarb@biocarb.com.br</w:t>
        </w:r>
      </w:hyperlink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Fone:</w:t>
      </w:r>
      <w:proofErr w:type="gramStart"/>
      <w:r w:rsidRPr="00F84E5F">
        <w:rPr>
          <w:rFonts w:ascii="Arial" w:hAnsi="Arial" w:cs="Arial"/>
          <w:color w:val="000000"/>
        </w:rPr>
        <w:t xml:space="preserve">  </w:t>
      </w:r>
      <w:proofErr w:type="gramEnd"/>
      <w:r w:rsidRPr="00F84E5F">
        <w:rPr>
          <w:rFonts w:ascii="Arial" w:hAnsi="Arial" w:cs="Arial"/>
          <w:color w:val="000000"/>
        </w:rPr>
        <w:t>(XX41)3074-8080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Telefone de emergência</w:t>
      </w:r>
      <w:r w:rsidRPr="00F84E5F">
        <w:rPr>
          <w:rFonts w:ascii="Arial" w:hAnsi="Arial" w:cs="Arial"/>
          <w:color w:val="000000"/>
        </w:rPr>
        <w:t>:</w:t>
      </w:r>
      <w:proofErr w:type="gramStart"/>
      <w:r w:rsidRPr="00F84E5F">
        <w:rPr>
          <w:rFonts w:ascii="Arial" w:hAnsi="Arial" w:cs="Arial"/>
          <w:color w:val="000000"/>
        </w:rPr>
        <w:t xml:space="preserve">  </w:t>
      </w:r>
      <w:proofErr w:type="gramEnd"/>
      <w:r w:rsidRPr="00F84E5F">
        <w:rPr>
          <w:rFonts w:ascii="Arial" w:hAnsi="Arial" w:cs="Arial"/>
          <w:color w:val="000000"/>
        </w:rPr>
        <w:t>(XX41) 3074-8080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2. COMPOSIÇÃO E INFORMAÇÕES SOBRE OS INGREDIENTES</w:t>
      </w:r>
    </w:p>
    <w:p w:rsidR="00D55935" w:rsidRPr="00F84E5F" w:rsidRDefault="00D5593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Natureza Química</w:t>
      </w:r>
      <w:r w:rsidRPr="00F84E5F">
        <w:rPr>
          <w:rFonts w:ascii="Arial" w:hAnsi="Arial" w:cs="Arial"/>
          <w:color w:val="000000"/>
        </w:rPr>
        <w:t>: Este produto químico é um preparado.</w:t>
      </w:r>
    </w:p>
    <w:p w:rsidR="00D55935" w:rsidRPr="00F84E5F" w:rsidRDefault="00D5593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85"/>
        <w:gridCol w:w="2244"/>
        <w:gridCol w:w="2245"/>
        <w:gridCol w:w="2245"/>
      </w:tblGrid>
      <w:tr w:rsidR="00D55935" w:rsidRPr="00F84E5F" w:rsidTr="00F84E5F">
        <w:tc>
          <w:tcPr>
            <w:tcW w:w="2136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Nome químico</w:t>
            </w:r>
          </w:p>
        </w:tc>
        <w:tc>
          <w:tcPr>
            <w:tcW w:w="2244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 xml:space="preserve">Nº </w:t>
            </w:r>
            <w:proofErr w:type="spellStart"/>
            <w:r w:rsidRPr="00F84E5F">
              <w:rPr>
                <w:rFonts w:ascii="Arial" w:hAnsi="Arial" w:cs="Arial"/>
                <w:color w:val="000000"/>
              </w:rPr>
              <w:t>Cas</w:t>
            </w:r>
            <w:proofErr w:type="spellEnd"/>
          </w:p>
        </w:tc>
        <w:tc>
          <w:tcPr>
            <w:tcW w:w="2245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Concentração %</w:t>
            </w:r>
          </w:p>
        </w:tc>
        <w:tc>
          <w:tcPr>
            <w:tcW w:w="2245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Fórmula Molecular</w:t>
            </w:r>
          </w:p>
        </w:tc>
      </w:tr>
      <w:tr w:rsidR="00D55935" w:rsidRPr="00F84E5F" w:rsidTr="00F84E5F">
        <w:tc>
          <w:tcPr>
            <w:tcW w:w="2136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 xml:space="preserve">0,0-dimetil-ditiofosfato de </w:t>
            </w:r>
            <w:proofErr w:type="spellStart"/>
            <w:r w:rsidRPr="00F84E5F">
              <w:rPr>
                <w:rFonts w:ascii="Arial" w:hAnsi="Arial" w:cs="Arial"/>
                <w:color w:val="000000"/>
              </w:rPr>
              <w:t>dietil-mercaptosuccionato</w:t>
            </w:r>
            <w:proofErr w:type="spellEnd"/>
          </w:p>
        </w:tc>
        <w:tc>
          <w:tcPr>
            <w:tcW w:w="2244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121-75-5</w:t>
            </w:r>
          </w:p>
        </w:tc>
        <w:tc>
          <w:tcPr>
            <w:tcW w:w="2245" w:type="dxa"/>
          </w:tcPr>
          <w:p w:rsidR="00D55935" w:rsidRPr="00F84E5F" w:rsidRDefault="00F65B34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2245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vertAlign w:val="subscript"/>
              </w:rPr>
            </w:pPr>
            <w:r w:rsidRPr="00F84E5F">
              <w:rPr>
                <w:rFonts w:ascii="Arial" w:hAnsi="Arial" w:cs="Arial"/>
                <w:color w:val="000000"/>
              </w:rPr>
              <w:t>C</w:t>
            </w:r>
            <w:r w:rsidRPr="00F84E5F">
              <w:rPr>
                <w:rFonts w:ascii="Arial" w:hAnsi="Arial" w:cs="Arial"/>
                <w:color w:val="000000"/>
                <w:vertAlign w:val="subscript"/>
              </w:rPr>
              <w:t>10</w:t>
            </w:r>
            <w:r w:rsidRPr="00F84E5F">
              <w:rPr>
                <w:rFonts w:ascii="Arial" w:hAnsi="Arial" w:cs="Arial"/>
                <w:color w:val="000000"/>
              </w:rPr>
              <w:t>H</w:t>
            </w:r>
            <w:r w:rsidRPr="00F84E5F">
              <w:rPr>
                <w:rFonts w:ascii="Arial" w:hAnsi="Arial" w:cs="Arial"/>
                <w:color w:val="000000"/>
                <w:vertAlign w:val="subscript"/>
              </w:rPr>
              <w:t>19</w:t>
            </w:r>
            <w:r w:rsidRPr="00F84E5F">
              <w:rPr>
                <w:rFonts w:ascii="Arial" w:hAnsi="Arial" w:cs="Arial"/>
                <w:color w:val="000000"/>
              </w:rPr>
              <w:t>O</w:t>
            </w:r>
            <w:r w:rsidRPr="00F84E5F">
              <w:rPr>
                <w:rFonts w:ascii="Arial" w:hAnsi="Arial" w:cs="Arial"/>
                <w:color w:val="000000"/>
                <w:vertAlign w:val="subscript"/>
              </w:rPr>
              <w:t>6</w:t>
            </w:r>
            <w:r w:rsidRPr="00F84E5F">
              <w:rPr>
                <w:rFonts w:ascii="Arial" w:hAnsi="Arial" w:cs="Arial"/>
                <w:color w:val="000000"/>
              </w:rPr>
              <w:t>PS</w:t>
            </w:r>
            <w:r w:rsidRPr="00F84E5F">
              <w:rPr>
                <w:rFonts w:ascii="Arial" w:hAnsi="Arial" w:cs="Arial"/>
                <w:color w:val="000000"/>
                <w:vertAlign w:val="subscript"/>
              </w:rPr>
              <w:t>2</w:t>
            </w:r>
          </w:p>
        </w:tc>
      </w:tr>
      <w:tr w:rsidR="00D55935" w:rsidRPr="00F84E5F" w:rsidTr="00F84E5F">
        <w:tc>
          <w:tcPr>
            <w:tcW w:w="2136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1,3,5-Trimetilbenzeno</w:t>
            </w:r>
          </w:p>
        </w:tc>
        <w:tc>
          <w:tcPr>
            <w:tcW w:w="2244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64742-95-6</w:t>
            </w:r>
          </w:p>
        </w:tc>
        <w:tc>
          <w:tcPr>
            <w:tcW w:w="2245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4 - 10</w:t>
            </w:r>
          </w:p>
        </w:tc>
        <w:tc>
          <w:tcPr>
            <w:tcW w:w="2245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XXXXXXX</w:t>
            </w:r>
          </w:p>
        </w:tc>
      </w:tr>
      <w:tr w:rsidR="00D55935" w:rsidRPr="00F84E5F" w:rsidTr="00F84E5F">
        <w:tc>
          <w:tcPr>
            <w:tcW w:w="2136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84E5F">
              <w:rPr>
                <w:rFonts w:ascii="Arial" w:hAnsi="Arial" w:cs="Arial"/>
                <w:color w:val="000000"/>
              </w:rPr>
              <w:t>Ultranex</w:t>
            </w:r>
            <w:proofErr w:type="spellEnd"/>
            <w:r w:rsidRPr="00F84E5F">
              <w:rPr>
                <w:rFonts w:ascii="Arial" w:hAnsi="Arial" w:cs="Arial"/>
                <w:color w:val="000000"/>
              </w:rPr>
              <w:t xml:space="preserve"> NP95</w:t>
            </w:r>
          </w:p>
        </w:tc>
        <w:tc>
          <w:tcPr>
            <w:tcW w:w="2244" w:type="dxa"/>
          </w:tcPr>
          <w:p w:rsidR="00D55935" w:rsidRPr="00F84E5F" w:rsidRDefault="00D55935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45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3 - 7</w:t>
            </w:r>
          </w:p>
        </w:tc>
        <w:tc>
          <w:tcPr>
            <w:tcW w:w="2245" w:type="dxa"/>
          </w:tcPr>
          <w:p w:rsidR="00D55935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XXXXXXX</w:t>
            </w:r>
          </w:p>
        </w:tc>
      </w:tr>
      <w:tr w:rsidR="00F13D4C" w:rsidRPr="00F84E5F" w:rsidTr="00F84E5F">
        <w:tc>
          <w:tcPr>
            <w:tcW w:w="2136" w:type="dxa"/>
          </w:tcPr>
          <w:p w:rsidR="00F13D4C" w:rsidRPr="00F84E5F" w:rsidRDefault="009D2DD2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Inertes</w:t>
            </w:r>
          </w:p>
        </w:tc>
        <w:tc>
          <w:tcPr>
            <w:tcW w:w="2244" w:type="dxa"/>
          </w:tcPr>
          <w:p w:rsidR="00F13D4C" w:rsidRPr="00F84E5F" w:rsidRDefault="00F13D4C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45" w:type="dxa"/>
          </w:tcPr>
          <w:p w:rsidR="00F13D4C" w:rsidRPr="00F84E5F" w:rsidRDefault="009D2DD2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84E5F">
              <w:rPr>
                <w:rFonts w:ascii="Arial" w:hAnsi="Arial" w:cs="Arial"/>
                <w:color w:val="000000"/>
              </w:rPr>
              <w:t>qsp</w:t>
            </w:r>
            <w:proofErr w:type="spellEnd"/>
            <w:proofErr w:type="gramEnd"/>
          </w:p>
        </w:tc>
        <w:tc>
          <w:tcPr>
            <w:tcW w:w="2245" w:type="dxa"/>
          </w:tcPr>
          <w:p w:rsidR="00F13D4C" w:rsidRPr="00F84E5F" w:rsidRDefault="009D2DD2" w:rsidP="005D4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84E5F">
              <w:rPr>
                <w:rFonts w:ascii="Arial" w:hAnsi="Arial" w:cs="Arial"/>
                <w:color w:val="000000"/>
              </w:rPr>
              <w:t>XXXXXXX</w:t>
            </w:r>
          </w:p>
        </w:tc>
      </w:tr>
    </w:tbl>
    <w:p w:rsidR="00D55935" w:rsidRPr="00F84E5F" w:rsidRDefault="00D5593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Sinônimos</w:t>
      </w:r>
      <w:r w:rsidRPr="00F84E5F">
        <w:rPr>
          <w:rFonts w:ascii="Arial" w:hAnsi="Arial" w:cs="Arial"/>
          <w:color w:val="000000"/>
        </w:rPr>
        <w:t xml:space="preserve">: </w:t>
      </w:r>
      <w:proofErr w:type="spellStart"/>
      <w:r w:rsidRPr="00F84E5F">
        <w:rPr>
          <w:rFonts w:ascii="Arial" w:hAnsi="Arial" w:cs="Arial"/>
          <w:color w:val="000000"/>
        </w:rPr>
        <w:t>Malathion</w:t>
      </w:r>
      <w:proofErr w:type="spellEnd"/>
      <w:r w:rsidRPr="00F84E5F">
        <w:rPr>
          <w:rFonts w:ascii="Arial" w:hAnsi="Arial" w:cs="Arial"/>
          <w:color w:val="000000"/>
        </w:rPr>
        <w:t xml:space="preserve">, 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b/>
          <w:color w:val="000000"/>
        </w:rPr>
        <w:t>Ingredientes ou impurezas que contribuam para o perigo</w:t>
      </w:r>
      <w:r w:rsidRPr="00F84E5F">
        <w:rPr>
          <w:rFonts w:ascii="Arial" w:hAnsi="Arial" w:cs="Arial"/>
          <w:color w:val="000000"/>
        </w:rPr>
        <w:t>: os demais componentes da formulação</w:t>
      </w:r>
      <w:r w:rsidR="00F84E5F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não são classificados como perigosos.</w:t>
      </w:r>
    </w:p>
    <w:p w:rsidR="00F84E5F" w:rsidRDefault="00F84E5F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84E5F">
        <w:rPr>
          <w:rFonts w:ascii="Arial" w:hAnsi="Arial" w:cs="Arial"/>
          <w:b/>
          <w:color w:val="000000"/>
        </w:rPr>
        <w:t>Classificação e rotulagem de perigo:</w:t>
      </w:r>
    </w:p>
    <w:p w:rsidR="00F84E5F" w:rsidRDefault="00F84E5F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84E5F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pt-BR"/>
        </w:rPr>
        <w:drawing>
          <wp:inline distT="0" distB="0" distL="0" distR="0">
            <wp:extent cx="3161325" cy="1404000"/>
            <wp:effectExtent l="0" t="0" r="9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04828" t="-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25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5F" w:rsidRDefault="00F84E5F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84E5F" w:rsidRDefault="00F84E5F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271DA" w:rsidRDefault="009271D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271DA" w:rsidRDefault="009271D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271DA" w:rsidRDefault="009271D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3. IDENTIFICAÇÃO DE PERIGOS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Perigos mais importantes</w:t>
      </w:r>
      <w:r w:rsidRPr="00F84E5F">
        <w:rPr>
          <w:rFonts w:ascii="Arial" w:hAnsi="Arial" w:cs="Arial"/>
          <w:color w:val="000000"/>
        </w:rPr>
        <w:t>: o produto pode ser tóxico ao homem e ao meio ambiente se não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utilizado conforme as recomendações.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Efeitos do Produto:</w:t>
      </w:r>
      <w:r w:rsidR="006F14F4">
        <w:rPr>
          <w:rFonts w:ascii="Arial" w:hAnsi="Arial" w:cs="Arial"/>
          <w:b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Efeitos adversos à saúde humana: o produto pode ser absorvido pelas vias respiratória,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dérmica e oral. O contato com o produto pode provocar irritações na pele e nos olhos. 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MALATHION é um inibidor das colinesterases e pode provocar intoxicações graves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Efeitos Ambientais</w:t>
      </w:r>
      <w:r w:rsidRPr="00F84E5F">
        <w:rPr>
          <w:rFonts w:ascii="Arial" w:hAnsi="Arial" w:cs="Arial"/>
          <w:color w:val="000000"/>
        </w:rPr>
        <w:t>: o MALATHION apresenta moderada toxicidade para pássaros, alta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toxicidade</w:t>
      </w:r>
      <w:proofErr w:type="gramEnd"/>
      <w:r w:rsidRPr="00F84E5F">
        <w:rPr>
          <w:rFonts w:ascii="Arial" w:hAnsi="Arial" w:cs="Arial"/>
          <w:color w:val="000000"/>
        </w:rPr>
        <w:t xml:space="preserve"> para organismos aquáticos invertebrados e é tóxico para peixes e abelhas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>(EXTOXNET, 2003)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 xml:space="preserve">Perigos </w:t>
      </w:r>
      <w:proofErr w:type="gramStart"/>
      <w:r w:rsidRPr="006F14F4">
        <w:rPr>
          <w:rFonts w:ascii="Arial" w:hAnsi="Arial" w:cs="Arial"/>
          <w:b/>
          <w:color w:val="000000"/>
        </w:rPr>
        <w:t>físicos/químicos</w:t>
      </w:r>
      <w:proofErr w:type="gramEnd"/>
      <w:r w:rsidRPr="00F84E5F">
        <w:rPr>
          <w:rFonts w:ascii="Arial" w:hAnsi="Arial" w:cs="Arial"/>
          <w:color w:val="000000"/>
        </w:rPr>
        <w:t>: o produto é inflamável.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Perigos específicos</w:t>
      </w:r>
      <w:r w:rsidRPr="00F84E5F">
        <w:rPr>
          <w:rFonts w:ascii="Arial" w:hAnsi="Arial" w:cs="Arial"/>
          <w:color w:val="000000"/>
        </w:rPr>
        <w:t>: não há outros perigos relacionados ao produto.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Principais Sintomas</w:t>
      </w:r>
      <w:r w:rsidRPr="00F84E5F">
        <w:rPr>
          <w:rFonts w:ascii="Arial" w:hAnsi="Arial" w:cs="Arial"/>
          <w:color w:val="000000"/>
        </w:rPr>
        <w:t xml:space="preserve">: o MALATHION é um </w:t>
      </w:r>
      <w:proofErr w:type="spellStart"/>
      <w:r w:rsidRPr="00F84E5F">
        <w:rPr>
          <w:rFonts w:ascii="Arial" w:hAnsi="Arial" w:cs="Arial"/>
          <w:color w:val="000000"/>
        </w:rPr>
        <w:t>organofosforado</w:t>
      </w:r>
      <w:proofErr w:type="spellEnd"/>
      <w:r w:rsidRPr="00F84E5F">
        <w:rPr>
          <w:rFonts w:ascii="Arial" w:hAnsi="Arial" w:cs="Arial"/>
          <w:color w:val="000000"/>
        </w:rPr>
        <w:t xml:space="preserve"> e pode provocar náuseas, vômitos,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diarréia, salivação e sudorese excessiva; em casos mais graves bradicardia, </w:t>
      </w:r>
      <w:proofErr w:type="spellStart"/>
      <w:r w:rsidRPr="00F84E5F">
        <w:rPr>
          <w:rFonts w:ascii="Arial" w:hAnsi="Arial" w:cs="Arial"/>
          <w:color w:val="000000"/>
        </w:rPr>
        <w:t>miose</w:t>
      </w:r>
      <w:proofErr w:type="spellEnd"/>
      <w:r w:rsidRPr="00F84E5F">
        <w:rPr>
          <w:rFonts w:ascii="Arial" w:hAnsi="Arial" w:cs="Arial"/>
          <w:color w:val="000000"/>
        </w:rPr>
        <w:t>, secreção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pulmonar aumentada, </w:t>
      </w:r>
      <w:proofErr w:type="spellStart"/>
      <w:r w:rsidRPr="00F84E5F">
        <w:rPr>
          <w:rFonts w:ascii="Arial" w:hAnsi="Arial" w:cs="Arial"/>
          <w:color w:val="000000"/>
        </w:rPr>
        <w:t>incoordenação</w:t>
      </w:r>
      <w:proofErr w:type="spellEnd"/>
      <w:r w:rsidRPr="00F84E5F">
        <w:rPr>
          <w:rFonts w:ascii="Arial" w:hAnsi="Arial" w:cs="Arial"/>
          <w:color w:val="000000"/>
        </w:rPr>
        <w:t xml:space="preserve"> muscular, </w:t>
      </w:r>
      <w:proofErr w:type="spellStart"/>
      <w:r w:rsidRPr="00F84E5F">
        <w:rPr>
          <w:rFonts w:ascii="Arial" w:hAnsi="Arial" w:cs="Arial"/>
          <w:color w:val="000000"/>
        </w:rPr>
        <w:t>fasciculações</w:t>
      </w:r>
      <w:proofErr w:type="spellEnd"/>
      <w:r w:rsidRPr="00F84E5F">
        <w:rPr>
          <w:rFonts w:ascii="Arial" w:hAnsi="Arial" w:cs="Arial"/>
          <w:color w:val="000000"/>
        </w:rPr>
        <w:t xml:space="preserve"> e contrações musculares, depressão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do SNC, crises convulsivas generalizadas, coma e óbito.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4. MEDIDAS DE PRIMEIROS SOCORROS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Medidas de Primeiros Socorros</w:t>
      </w:r>
      <w:r w:rsidRPr="00F84E5F">
        <w:rPr>
          <w:rFonts w:ascii="Arial" w:hAnsi="Arial" w:cs="Arial"/>
          <w:color w:val="000000"/>
        </w:rPr>
        <w:t>: levar o acidentado para um local arejado. Retirar as roupas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contaminadas. Lavar as partes do corpo atingidas com água em abundância e sabão. Se 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acidentado estiver inconsciente e não respirar mais, praticar respiração artificial ou oxigenação.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Encaminhar ao serviço médico mais próximo levando esta ficha.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Inalação:</w:t>
      </w:r>
      <w:r w:rsidRPr="00F84E5F">
        <w:rPr>
          <w:rFonts w:ascii="Arial" w:hAnsi="Arial" w:cs="Arial"/>
          <w:color w:val="000000"/>
        </w:rPr>
        <w:t xml:space="preserve"> remover a pessoa para local arejado. Se não estiver respirando, faça respiração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artificial. Se respirar com dificuldade, consultar um médico imediatamente.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Contato com a pele</w:t>
      </w:r>
      <w:r w:rsidRPr="00F84E5F">
        <w:rPr>
          <w:rFonts w:ascii="Arial" w:hAnsi="Arial" w:cs="Arial"/>
          <w:color w:val="000000"/>
        </w:rPr>
        <w:t>: lavar imediatamente a área afetada com água em abundância e sabão.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Remover as roupas contaminadas. Ocorrendo efeitos/sintomas, consultar um médico. Lavar as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roupas contaminadas antes de reutilizá-las e descartar os sapatos contaminados.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Contato com os olhos</w:t>
      </w:r>
      <w:r w:rsidRPr="00F84E5F">
        <w:rPr>
          <w:rFonts w:ascii="Arial" w:hAnsi="Arial" w:cs="Arial"/>
          <w:color w:val="000000"/>
        </w:rPr>
        <w:t>: lavá-los imediatamente com água em abundância. Consultar um médico.</w:t>
      </w:r>
    </w:p>
    <w:p w:rsidR="006F14F4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Ingestão</w:t>
      </w:r>
      <w:r w:rsidRPr="00F84E5F">
        <w:rPr>
          <w:rFonts w:ascii="Arial" w:hAnsi="Arial" w:cs="Arial"/>
          <w:color w:val="000000"/>
        </w:rPr>
        <w:t>: não provocar vômito, entretanto é possível que o mesmo ocorra espontaneamente não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devendo ser evitado, deitar o paciente de lado para evitar que aspire resíduos. Procurar um médico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imediatamente. </w:t>
      </w:r>
      <w:r w:rsidRPr="006F14F4">
        <w:rPr>
          <w:rFonts w:ascii="Arial" w:hAnsi="Arial" w:cs="Arial"/>
          <w:b/>
          <w:color w:val="000000"/>
        </w:rPr>
        <w:t>ATENÇÃO</w:t>
      </w:r>
      <w:r w:rsidRPr="00F84E5F">
        <w:rPr>
          <w:rFonts w:ascii="Arial" w:hAnsi="Arial" w:cs="Arial"/>
          <w:color w:val="000000"/>
        </w:rPr>
        <w:t>: nunca dê algo por via oral para uma pessoa inconsciente.</w:t>
      </w:r>
      <w:r w:rsidR="006F14F4">
        <w:rPr>
          <w:rFonts w:ascii="Arial" w:hAnsi="Arial" w:cs="Arial"/>
          <w:color w:val="000000"/>
        </w:rPr>
        <w:t xml:space="preserve"> 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Quais ações devem ser evitadas</w:t>
      </w:r>
      <w:r w:rsidRPr="00F84E5F">
        <w:rPr>
          <w:rFonts w:ascii="Arial" w:hAnsi="Arial" w:cs="Arial"/>
          <w:color w:val="000000"/>
        </w:rPr>
        <w:t>: não aplicar respiração boca a boca caso o paciente tenha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ingerido o produto. Utilizar um equipamento intermediário ou aparelho de reanimação manual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(</w:t>
      </w:r>
      <w:proofErr w:type="spellStart"/>
      <w:r w:rsidRPr="00F84E5F">
        <w:rPr>
          <w:rFonts w:ascii="Arial" w:hAnsi="Arial" w:cs="Arial"/>
          <w:color w:val="000000"/>
        </w:rPr>
        <w:t>Ambu</w:t>
      </w:r>
      <w:proofErr w:type="spellEnd"/>
      <w:r w:rsidRPr="00F84E5F">
        <w:rPr>
          <w:rFonts w:ascii="Arial" w:hAnsi="Arial" w:cs="Arial"/>
          <w:color w:val="000000"/>
        </w:rPr>
        <w:t>) para realizar o procedimento.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lastRenderedPageBreak/>
        <w:t>Proteção para os prestadores de primeiros socorros</w:t>
      </w:r>
      <w:r w:rsidRPr="00F84E5F">
        <w:rPr>
          <w:rFonts w:ascii="Arial" w:hAnsi="Arial" w:cs="Arial"/>
          <w:color w:val="000000"/>
        </w:rPr>
        <w:t>: evitar contato cutâneo e inalatório com 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produto durante o processo.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Notas para o médico</w:t>
      </w:r>
      <w:r w:rsidRPr="00F84E5F">
        <w:rPr>
          <w:rFonts w:ascii="Arial" w:hAnsi="Arial" w:cs="Arial"/>
          <w:color w:val="000000"/>
        </w:rPr>
        <w:t xml:space="preserve">: o esvaziamento gástrico, através de </w:t>
      </w:r>
      <w:proofErr w:type="spellStart"/>
      <w:r w:rsidRPr="00F84E5F">
        <w:rPr>
          <w:rFonts w:ascii="Arial" w:hAnsi="Arial" w:cs="Arial"/>
          <w:color w:val="000000"/>
        </w:rPr>
        <w:t>emese</w:t>
      </w:r>
      <w:proofErr w:type="spellEnd"/>
      <w:r w:rsidRPr="00F84E5F">
        <w:rPr>
          <w:rFonts w:ascii="Arial" w:hAnsi="Arial" w:cs="Arial"/>
          <w:color w:val="000000"/>
        </w:rPr>
        <w:t xml:space="preserve"> ou lavagem gástrica, só deverá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ser realizado em ingestões recentes de grandes quantidades. Medidas de redução de risco de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aspiração deverão ser adotadas caso haja necessidade de esvaziamento, visando prevenir a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aspiração pulmonar, em virtude do risco da </w:t>
      </w:r>
      <w:proofErr w:type="spellStart"/>
      <w:r w:rsidRPr="00F84E5F">
        <w:rPr>
          <w:rFonts w:ascii="Arial" w:hAnsi="Arial" w:cs="Arial"/>
          <w:color w:val="000000"/>
        </w:rPr>
        <w:t>pneumonite</w:t>
      </w:r>
      <w:proofErr w:type="spellEnd"/>
      <w:r w:rsidRPr="00F84E5F">
        <w:rPr>
          <w:rFonts w:ascii="Arial" w:hAnsi="Arial" w:cs="Arial"/>
          <w:color w:val="000000"/>
        </w:rPr>
        <w:t xml:space="preserve"> química, uma vez que a formulação contém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derivados de petróleo. </w:t>
      </w:r>
      <w:proofErr w:type="gramStart"/>
      <w:r w:rsidRPr="00F84E5F">
        <w:rPr>
          <w:rFonts w:ascii="Arial" w:hAnsi="Arial" w:cs="Arial"/>
          <w:color w:val="000000"/>
        </w:rPr>
        <w:t>Carvão ativado e catárticos serão</w:t>
      </w:r>
      <w:proofErr w:type="gramEnd"/>
      <w:r w:rsidRPr="00F84E5F">
        <w:rPr>
          <w:rFonts w:ascii="Arial" w:hAnsi="Arial" w:cs="Arial"/>
          <w:color w:val="000000"/>
        </w:rPr>
        <w:t xml:space="preserve"> úteis na prevenção da absorção do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ingrediente ativo pelo trato gastrointestinal. Os antídotos </w:t>
      </w:r>
      <w:proofErr w:type="gramStart"/>
      <w:r w:rsidRPr="00F84E5F">
        <w:rPr>
          <w:rFonts w:ascii="Arial" w:hAnsi="Arial" w:cs="Arial"/>
          <w:color w:val="000000"/>
        </w:rPr>
        <w:t>à</w:t>
      </w:r>
      <w:proofErr w:type="gramEnd"/>
      <w:r w:rsidRPr="00F84E5F">
        <w:rPr>
          <w:rFonts w:ascii="Arial" w:hAnsi="Arial" w:cs="Arial"/>
          <w:color w:val="000000"/>
        </w:rPr>
        <w:t xml:space="preserve"> serem administrados são o Sulfato de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Atropina e as </w:t>
      </w:r>
      <w:proofErr w:type="spellStart"/>
      <w:r w:rsidRPr="00F84E5F">
        <w:rPr>
          <w:rFonts w:ascii="Arial" w:hAnsi="Arial" w:cs="Arial"/>
          <w:color w:val="000000"/>
        </w:rPr>
        <w:t>Oximas</w:t>
      </w:r>
      <w:proofErr w:type="spellEnd"/>
      <w:r w:rsidRPr="00F84E5F">
        <w:rPr>
          <w:rFonts w:ascii="Arial" w:hAnsi="Arial" w:cs="Arial"/>
          <w:color w:val="000000"/>
        </w:rPr>
        <w:t xml:space="preserve"> (</w:t>
      </w:r>
      <w:proofErr w:type="spellStart"/>
      <w:r w:rsidRPr="00F84E5F">
        <w:rPr>
          <w:rFonts w:ascii="Arial" w:hAnsi="Arial" w:cs="Arial"/>
          <w:color w:val="000000"/>
        </w:rPr>
        <w:t>Contrathion</w:t>
      </w:r>
      <w:proofErr w:type="spellEnd"/>
      <w:r w:rsidRPr="00F84E5F">
        <w:rPr>
          <w:rFonts w:ascii="Arial" w:hAnsi="Arial" w:cs="Arial"/>
          <w:color w:val="000000"/>
        </w:rPr>
        <w:t xml:space="preserve">®). Administrar </w:t>
      </w:r>
      <w:proofErr w:type="spellStart"/>
      <w:r w:rsidRPr="00F84E5F">
        <w:rPr>
          <w:rFonts w:ascii="Arial" w:hAnsi="Arial" w:cs="Arial"/>
          <w:color w:val="000000"/>
        </w:rPr>
        <w:t>Oximas</w:t>
      </w:r>
      <w:proofErr w:type="spellEnd"/>
      <w:r w:rsidRPr="00F84E5F">
        <w:rPr>
          <w:rFonts w:ascii="Arial" w:hAnsi="Arial" w:cs="Arial"/>
          <w:color w:val="000000"/>
        </w:rPr>
        <w:t xml:space="preserve"> (</w:t>
      </w:r>
      <w:proofErr w:type="spellStart"/>
      <w:r w:rsidRPr="00F84E5F">
        <w:rPr>
          <w:rFonts w:ascii="Arial" w:hAnsi="Arial" w:cs="Arial"/>
          <w:color w:val="000000"/>
        </w:rPr>
        <w:t>Contrathion</w:t>
      </w:r>
      <w:proofErr w:type="spellEnd"/>
      <w:r w:rsidRPr="00F84E5F">
        <w:rPr>
          <w:rFonts w:ascii="Arial" w:hAnsi="Arial" w:cs="Arial"/>
          <w:color w:val="000000"/>
        </w:rPr>
        <w:t>®), precocemente, via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endovenosa</w:t>
      </w:r>
      <w:proofErr w:type="gramEnd"/>
      <w:r w:rsidRPr="00F84E5F">
        <w:rPr>
          <w:rFonts w:ascii="Arial" w:hAnsi="Arial" w:cs="Arial"/>
          <w:color w:val="000000"/>
        </w:rPr>
        <w:t xml:space="preserve"> lenta na dose de 1-2 g por dia à cada 6 horas dependendo da severidade da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intoxicação</w:t>
      </w:r>
      <w:proofErr w:type="gramEnd"/>
      <w:r w:rsidRPr="00F84E5F">
        <w:rPr>
          <w:rFonts w:ascii="Arial" w:hAnsi="Arial" w:cs="Arial"/>
          <w:color w:val="000000"/>
        </w:rPr>
        <w:t>, não ultrapassando a velocidade de 0,2 g/minuto. O sulfato de atropina deverá ser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administrado somente na vigência de sintomatologia colinérgica na dose de 1-2 </w:t>
      </w:r>
      <w:proofErr w:type="gramStart"/>
      <w:r w:rsidRPr="00F84E5F">
        <w:rPr>
          <w:rFonts w:ascii="Arial" w:hAnsi="Arial" w:cs="Arial"/>
          <w:color w:val="000000"/>
        </w:rPr>
        <w:t>mg</w:t>
      </w:r>
      <w:proofErr w:type="gramEnd"/>
      <w:r w:rsidRPr="00F84E5F">
        <w:rPr>
          <w:rFonts w:ascii="Arial" w:hAnsi="Arial" w:cs="Arial"/>
          <w:color w:val="000000"/>
        </w:rPr>
        <w:t xml:space="preserve"> endovenoso, à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cada 10 ou 20 minutos até a reversão da sintomatologia (bradicardia, </w:t>
      </w:r>
      <w:proofErr w:type="spellStart"/>
      <w:r w:rsidRPr="00F84E5F">
        <w:rPr>
          <w:rFonts w:ascii="Arial" w:hAnsi="Arial" w:cs="Arial"/>
          <w:color w:val="000000"/>
        </w:rPr>
        <w:t>sialorréia</w:t>
      </w:r>
      <w:proofErr w:type="spellEnd"/>
      <w:r w:rsidRPr="00F84E5F">
        <w:rPr>
          <w:rFonts w:ascii="Arial" w:hAnsi="Arial" w:cs="Arial"/>
          <w:color w:val="000000"/>
        </w:rPr>
        <w:t>, secreção pulmonar,</w:t>
      </w:r>
      <w:r w:rsidR="006F14F4">
        <w:rPr>
          <w:rFonts w:ascii="Arial" w:hAnsi="Arial" w:cs="Arial"/>
          <w:color w:val="000000"/>
        </w:rPr>
        <w:t xml:space="preserve"> </w:t>
      </w:r>
      <w:proofErr w:type="spellStart"/>
      <w:r w:rsidRPr="00F84E5F">
        <w:rPr>
          <w:rFonts w:ascii="Arial" w:hAnsi="Arial" w:cs="Arial"/>
          <w:color w:val="000000"/>
        </w:rPr>
        <w:t>miose</w:t>
      </w:r>
      <w:proofErr w:type="spellEnd"/>
      <w:r w:rsidRPr="00F84E5F">
        <w:rPr>
          <w:rFonts w:ascii="Arial" w:hAnsi="Arial" w:cs="Arial"/>
          <w:color w:val="000000"/>
        </w:rPr>
        <w:t>, etc.). Não administrar atropina se a sintomatologia não estiver presente. Medidas de suporte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tais como assistência respiratória, correção dos distúrbios hidroeletrolíticos e metabólicos devem ser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adotadas. Se possível, solicitar dosagem de atividade de colinesterases, que será de grande valia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como critério evolutivo. Em caso de contato ocular, proceder à lavagem com soro fisiológico seguida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de</w:t>
      </w:r>
      <w:proofErr w:type="gramEnd"/>
      <w:r w:rsidRPr="00F84E5F">
        <w:rPr>
          <w:rFonts w:ascii="Arial" w:hAnsi="Arial" w:cs="Arial"/>
          <w:color w:val="000000"/>
        </w:rPr>
        <w:t xml:space="preserve"> oclusão e encaminhamento para avaliação oftalmológica.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5. MEDIDAS DE PREVENÇÃO E COMBATE A INCÊNDIO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Meios de extinção apropriados</w:t>
      </w:r>
      <w:r w:rsidRPr="00F84E5F">
        <w:rPr>
          <w:rFonts w:ascii="Arial" w:hAnsi="Arial" w:cs="Arial"/>
          <w:color w:val="000000"/>
        </w:rPr>
        <w:t>: espuma, CO2, pó químico e água em último caso.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Procedimentos Especiais</w:t>
      </w:r>
      <w:r w:rsidRPr="00F84E5F">
        <w:rPr>
          <w:rFonts w:ascii="Arial" w:hAnsi="Arial" w:cs="Arial"/>
          <w:color w:val="000000"/>
        </w:rPr>
        <w:t>: em caso de incêndio, utilizar EPI adequado para evitar o contato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direto com o produto. Avental de PVC, luvas de borracha e botas de borracha são recomendados.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Máscara autônoma deve ser utilizada para evitar a exposição </w:t>
      </w:r>
      <w:proofErr w:type="gramStart"/>
      <w:r w:rsidRPr="00F84E5F">
        <w:rPr>
          <w:rFonts w:ascii="Arial" w:hAnsi="Arial" w:cs="Arial"/>
          <w:color w:val="000000"/>
        </w:rPr>
        <w:t>à</w:t>
      </w:r>
      <w:proofErr w:type="gramEnd"/>
      <w:r w:rsidRPr="00F84E5F">
        <w:rPr>
          <w:rFonts w:ascii="Arial" w:hAnsi="Arial" w:cs="Arial"/>
          <w:color w:val="000000"/>
        </w:rPr>
        <w:t xml:space="preserve"> gases e fumos provenientes da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combustão do produto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6. MEDIDAS DE CONTROLE PARA DERRAMAMENTO OU VAZAMENTO</w:t>
      </w:r>
    </w:p>
    <w:p w:rsidR="006F14F4" w:rsidRDefault="006F14F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Precauções pessoais</w:t>
      </w:r>
      <w:r w:rsidRPr="00F84E5F">
        <w:rPr>
          <w:rFonts w:ascii="Arial" w:hAnsi="Arial" w:cs="Arial"/>
          <w:color w:val="000000"/>
        </w:rPr>
        <w:t>: utilizar macacão impermeável, óculos protetores, botas de borracha e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luvas de borracha nitrílica ou PVC. A proteção respiratória deverá ser realizada dependendo das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concentrações presentes no ambiente ou da extensão do derramamento/vazamento, para tanto,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deverá se optar por máscaras semifaciais ou faciais inteiras com filtro substituível ou ainda,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respiradores de adução de ar (ex.: máscaras autônomas).</w:t>
      </w:r>
    </w:p>
    <w:p w:rsidR="00CA3554" w:rsidRDefault="00CA355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A3554" w:rsidRDefault="00CA355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A3554" w:rsidRDefault="00CA355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A3554" w:rsidRDefault="00CA3554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485005" w:rsidRDefault="0048500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485005" w:rsidRDefault="0048500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485005" w:rsidRDefault="0048500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14F4">
        <w:rPr>
          <w:rFonts w:ascii="Arial" w:hAnsi="Arial" w:cs="Arial"/>
          <w:b/>
          <w:color w:val="000000"/>
        </w:rPr>
        <w:t>Remoção de fontes de ignição</w:t>
      </w:r>
      <w:r w:rsidRPr="00F84E5F">
        <w:rPr>
          <w:rFonts w:ascii="Arial" w:hAnsi="Arial" w:cs="Arial"/>
          <w:color w:val="000000"/>
        </w:rPr>
        <w:t>: interromper a energia elétrica e desligar fontes geradoras</w:t>
      </w:r>
      <w:r w:rsidR="006F14F4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 faíscas. Retirar do local todo material que possa causar princípio de incêndio (ex. óleo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diesel).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Controle de poeira</w:t>
      </w:r>
      <w:r w:rsidRPr="00F84E5F">
        <w:rPr>
          <w:rFonts w:ascii="Arial" w:hAnsi="Arial" w:cs="Arial"/>
          <w:color w:val="000000"/>
        </w:rPr>
        <w:t>: não aplicável por tratar-se de um líquido.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Prevenção da inalação e do contato com a pele, mucosas e olhos</w:t>
      </w:r>
      <w:r w:rsidRPr="00F84E5F">
        <w:rPr>
          <w:rFonts w:ascii="Arial" w:hAnsi="Arial" w:cs="Arial"/>
          <w:color w:val="000000"/>
        </w:rPr>
        <w:t>: utilizar roupas 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acessórios</w:t>
      </w:r>
      <w:proofErr w:type="gramEnd"/>
      <w:r w:rsidRPr="00F84E5F">
        <w:rPr>
          <w:rFonts w:ascii="Arial" w:hAnsi="Arial" w:cs="Arial"/>
          <w:color w:val="000000"/>
        </w:rPr>
        <w:t xml:space="preserve"> descritos acima.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Precauções para o meio ambiente</w:t>
      </w:r>
      <w:r w:rsidRPr="00F84E5F">
        <w:rPr>
          <w:rFonts w:ascii="Arial" w:hAnsi="Arial" w:cs="Arial"/>
          <w:color w:val="000000"/>
        </w:rPr>
        <w:t>: evitar a contaminação dos cursos d’água vedando a entrada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 galerias de águas pluviais (boca de lobo). Evitar que resíduos do produto derramado atinjam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coleções de água construindo diques com terra, areia ou outro material absorvente.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Métodos para limpeza</w:t>
      </w:r>
      <w:r w:rsidRPr="00F84E5F">
        <w:rPr>
          <w:rFonts w:ascii="Arial" w:hAnsi="Arial" w:cs="Arial"/>
          <w:color w:val="000000"/>
        </w:rPr>
        <w:t>: conter e recolher o derramamento com materiais absorventes não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combustíveis (</w:t>
      </w:r>
      <w:proofErr w:type="spellStart"/>
      <w:r w:rsidRPr="00F84E5F">
        <w:rPr>
          <w:rFonts w:ascii="Arial" w:hAnsi="Arial" w:cs="Arial"/>
          <w:color w:val="000000"/>
        </w:rPr>
        <w:t>ex</w:t>
      </w:r>
      <w:proofErr w:type="spellEnd"/>
      <w:r w:rsidRPr="00F84E5F">
        <w:rPr>
          <w:rFonts w:ascii="Arial" w:hAnsi="Arial" w:cs="Arial"/>
          <w:color w:val="000000"/>
        </w:rPr>
        <w:t xml:space="preserve">: areia, terra, </w:t>
      </w:r>
      <w:proofErr w:type="spellStart"/>
      <w:r w:rsidRPr="00F84E5F">
        <w:rPr>
          <w:rFonts w:ascii="Arial" w:hAnsi="Arial" w:cs="Arial"/>
          <w:color w:val="000000"/>
        </w:rPr>
        <w:t>vermiculita</w:t>
      </w:r>
      <w:proofErr w:type="spellEnd"/>
      <w:r w:rsidRPr="00F84E5F">
        <w:rPr>
          <w:rFonts w:ascii="Arial" w:hAnsi="Arial" w:cs="Arial"/>
          <w:color w:val="000000"/>
        </w:rPr>
        <w:t>, terra de diatomácea). Colocar os resíduos em um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recipiente para eliminação de acordo com as regulamentações locais. Limpar preferivelmente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com um detergente; evitar o uso de solventes.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Prevenção de perigos secundários</w:t>
      </w:r>
      <w:r w:rsidRPr="00F84E5F">
        <w:rPr>
          <w:rFonts w:ascii="Arial" w:hAnsi="Arial" w:cs="Arial"/>
          <w:color w:val="000000"/>
        </w:rPr>
        <w:t>: evitar que o produto contamine riachos, lagos, fontes de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água, poços, esgotos pluviais e efluentes.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7. MANUSEIO E ARMAZENAMENTO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Manuseio</w:t>
      </w:r>
      <w:r w:rsidRPr="00F84E5F">
        <w:rPr>
          <w:rFonts w:ascii="Arial" w:hAnsi="Arial" w:cs="Arial"/>
          <w:color w:val="000000"/>
        </w:rPr>
        <w:t>: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Medidas técnicas</w:t>
      </w:r>
      <w:r w:rsidRPr="00F84E5F">
        <w:rPr>
          <w:rFonts w:ascii="Arial" w:hAnsi="Arial" w:cs="Arial"/>
          <w:color w:val="000000"/>
        </w:rPr>
        <w:t>: utilizar EPI conforme descrito no Item 8. Manter pessoas, principalmente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crianças e animais domésticos longe do local de trabalho. Não entrar em contato direto com o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produto. Evitar derrames ou contaminação do equipamento de aplicação, durante o seu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abastecimento.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Prevenção da exposição do trabalhador</w:t>
      </w:r>
      <w:r w:rsidRPr="00F84E5F">
        <w:rPr>
          <w:rFonts w:ascii="Arial" w:hAnsi="Arial" w:cs="Arial"/>
          <w:color w:val="000000"/>
        </w:rPr>
        <w:t>: utilizar EPI conforme descrito no Item 8. Não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comer</w:t>
      </w:r>
      <w:proofErr w:type="gramEnd"/>
      <w:r w:rsidRPr="00F84E5F">
        <w:rPr>
          <w:rFonts w:ascii="Arial" w:hAnsi="Arial" w:cs="Arial"/>
          <w:color w:val="000000"/>
        </w:rPr>
        <w:t>, beber ou fumar durante o manuseio do produto. Ao abrir a embalagem fazê-lo de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modo</w:t>
      </w:r>
      <w:proofErr w:type="gramEnd"/>
      <w:r w:rsidRPr="00F84E5F">
        <w:rPr>
          <w:rFonts w:ascii="Arial" w:hAnsi="Arial" w:cs="Arial"/>
          <w:color w:val="000000"/>
        </w:rPr>
        <w:t xml:space="preserve"> a evitar vazamento. Não utilizar equipamentos de proteção individual e de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aplicação</w:t>
      </w:r>
      <w:proofErr w:type="gramEnd"/>
      <w:r w:rsidRPr="00F84E5F">
        <w:rPr>
          <w:rFonts w:ascii="Arial" w:hAnsi="Arial" w:cs="Arial"/>
          <w:color w:val="000000"/>
        </w:rPr>
        <w:t xml:space="preserve"> danificados e /ou defeituosos. Não desentupir bicos, orifícios, tubulações 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válvulas</w:t>
      </w:r>
      <w:proofErr w:type="gramEnd"/>
      <w:r w:rsidRPr="00F84E5F">
        <w:rPr>
          <w:rFonts w:ascii="Arial" w:hAnsi="Arial" w:cs="Arial"/>
          <w:color w:val="000000"/>
        </w:rPr>
        <w:t xml:space="preserve"> com a boca. Não manipular e/ou carregar embalagens danificadas.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Prevenção de incêndio e explosão</w:t>
      </w:r>
      <w:r w:rsidRPr="00F84E5F">
        <w:rPr>
          <w:rFonts w:ascii="Arial" w:hAnsi="Arial" w:cs="Arial"/>
          <w:color w:val="000000"/>
        </w:rPr>
        <w:t>: manter as embalagens cheias ou vazias do produto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afastadas</w:t>
      </w:r>
      <w:proofErr w:type="gramEnd"/>
      <w:r w:rsidRPr="00F84E5F">
        <w:rPr>
          <w:rFonts w:ascii="Arial" w:hAnsi="Arial" w:cs="Arial"/>
          <w:color w:val="000000"/>
        </w:rPr>
        <w:t xml:space="preserve"> do calor, faíscas, chamas e outras fontes de ignição não aplique e não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manipule</w:t>
      </w:r>
      <w:proofErr w:type="gramEnd"/>
      <w:r w:rsidRPr="00F84E5F">
        <w:rPr>
          <w:rFonts w:ascii="Arial" w:hAnsi="Arial" w:cs="Arial"/>
          <w:color w:val="000000"/>
        </w:rPr>
        <w:t xml:space="preserve"> também o produto próximo à fontes de ignição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Precauções para manuseio seguro</w:t>
      </w:r>
      <w:r w:rsidRPr="00F84E5F">
        <w:rPr>
          <w:rFonts w:ascii="Arial" w:hAnsi="Arial" w:cs="Arial"/>
          <w:color w:val="000000"/>
        </w:rPr>
        <w:t>: utilizar EPI conforme descrito no Item 8. Não aplicar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o produto nas horas mais quentes do dia, contra ou na presença de ventos fortes de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modo a evitar a sua deriva.</w:t>
      </w:r>
    </w:p>
    <w:p w:rsidR="00F33B80" w:rsidRDefault="000519E9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8.1pt;margin-top:65.95pt;width:462pt;height:53.65pt;z-index:251665408;mso-height-percent:200;mso-height-percent:200;mso-width-relative:margin;mso-height-relative:margin" stroked="f">
            <v:textbox style="mso-fit-shape-to-text:t">
              <w:txbxContent>
                <w:p w:rsidR="00485005" w:rsidRPr="00155108" w:rsidRDefault="00485005" w:rsidP="004850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 xml:space="preserve">Data da elaboração: Dezembro/2000                                                         Data da revisão </w:t>
                  </w:r>
                  <w:r w:rsidR="00F65B34">
                    <w:rPr>
                      <w:rFonts w:ascii="Arial" w:hAnsi="Arial" w:cs="Arial"/>
                      <w:sz w:val="20"/>
                      <w:szCs w:val="20"/>
                    </w:rPr>
                    <w:t>03/03/2010</w:t>
                  </w:r>
                </w:p>
                <w:p w:rsidR="00485005" w:rsidRPr="00155108" w:rsidRDefault="00485005" w:rsidP="004850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</w:t>
                  </w:r>
                  <w:r w:rsidR="00F65B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920E6" w:rsidRPr="00087455">
        <w:rPr>
          <w:rFonts w:ascii="Arial" w:hAnsi="Arial" w:cs="Arial"/>
          <w:b/>
          <w:color w:val="000000"/>
        </w:rPr>
        <w:t>Orientações para manuseio seguro</w:t>
      </w:r>
      <w:r w:rsidR="00C920E6" w:rsidRPr="00F84E5F">
        <w:rPr>
          <w:rFonts w:ascii="Arial" w:hAnsi="Arial" w:cs="Arial"/>
          <w:color w:val="000000"/>
        </w:rPr>
        <w:t>: utilizar EPI conforme descrito no Item 8. Manusear o</w:t>
      </w:r>
      <w:r w:rsidR="00087455">
        <w:rPr>
          <w:rFonts w:ascii="Arial" w:hAnsi="Arial" w:cs="Arial"/>
          <w:color w:val="000000"/>
        </w:rPr>
        <w:t xml:space="preserve"> </w:t>
      </w:r>
      <w:r w:rsidR="00C920E6" w:rsidRPr="00F84E5F">
        <w:rPr>
          <w:rFonts w:ascii="Arial" w:hAnsi="Arial" w:cs="Arial"/>
          <w:color w:val="000000"/>
        </w:rPr>
        <w:t>produto com exaustão local apropriada ou em área bem ventilada, se em ambientes abertos</w:t>
      </w:r>
      <w:r w:rsidR="00087455">
        <w:rPr>
          <w:rFonts w:ascii="Arial" w:hAnsi="Arial" w:cs="Arial"/>
          <w:color w:val="000000"/>
        </w:rPr>
        <w:t xml:space="preserve"> </w:t>
      </w:r>
      <w:r w:rsidR="00C920E6" w:rsidRPr="00F84E5F">
        <w:rPr>
          <w:rFonts w:ascii="Arial" w:hAnsi="Arial" w:cs="Arial"/>
          <w:color w:val="000000"/>
        </w:rPr>
        <w:t xml:space="preserve">manuseá-lo a favor do vento. Aplicar somente as doses recomendadas pelo </w:t>
      </w:r>
    </w:p>
    <w:p w:rsidR="00F33B80" w:rsidRDefault="00F33B80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3B80" w:rsidRDefault="00F33B80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3B80" w:rsidRDefault="00F33B80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3B80" w:rsidRDefault="00F33B80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3B80" w:rsidRDefault="00F33B80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3B80" w:rsidRDefault="00F33B80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fabricante</w:t>
      </w:r>
      <w:proofErr w:type="gramEnd"/>
      <w:r w:rsidRPr="00F84E5F">
        <w:rPr>
          <w:rFonts w:ascii="Arial" w:hAnsi="Arial" w:cs="Arial"/>
          <w:color w:val="000000"/>
        </w:rPr>
        <w:t>. No caso de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sintomas de intoxicação, interromper imediatamente o trabalho e proceder conforme descrito no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Item 4 desta ficha.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087455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87455">
        <w:rPr>
          <w:rFonts w:ascii="Arial" w:hAnsi="Arial" w:cs="Arial"/>
          <w:b/>
          <w:color w:val="000000"/>
        </w:rPr>
        <w:t>Armazenamento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Medidas técnicas apropriadas</w:t>
      </w:r>
      <w:r w:rsidRPr="00F84E5F">
        <w:rPr>
          <w:rFonts w:ascii="Arial" w:hAnsi="Arial" w:cs="Arial"/>
          <w:color w:val="000000"/>
        </w:rPr>
        <w:t>: manter o produto em seu recipiente original. Manter as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eventuais</w:t>
      </w:r>
      <w:proofErr w:type="gramEnd"/>
      <w:r w:rsidRPr="00F84E5F">
        <w:rPr>
          <w:rFonts w:ascii="Arial" w:hAnsi="Arial" w:cs="Arial"/>
          <w:color w:val="000000"/>
        </w:rPr>
        <w:t xml:space="preserve"> sobras dos produtos em suas embalagens originais adequadamente fechadas.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087455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87455">
        <w:rPr>
          <w:rFonts w:ascii="Arial" w:hAnsi="Arial" w:cs="Arial"/>
          <w:b/>
          <w:color w:val="000000"/>
        </w:rPr>
        <w:t>Condições de armazenamento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Adequadas:</w:t>
      </w:r>
      <w:r w:rsidRPr="00F84E5F">
        <w:rPr>
          <w:rFonts w:ascii="Arial" w:hAnsi="Arial" w:cs="Arial"/>
          <w:color w:val="000000"/>
        </w:rPr>
        <w:t xml:space="preserve"> manter o recipiente adequadamente fechado, à temperatura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ambiente</w:t>
      </w:r>
      <w:proofErr w:type="gramEnd"/>
      <w:r w:rsidRPr="00F84E5F">
        <w:rPr>
          <w:rFonts w:ascii="Arial" w:hAnsi="Arial" w:cs="Arial"/>
          <w:color w:val="000000"/>
        </w:rPr>
        <w:t xml:space="preserve"> e ao abrigo da luz. Armazená-lo em local, devidamente identificado,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exclusivo para produtos tóxicos. Trancar o local evitando o acesso de pessoas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não</w:t>
      </w:r>
      <w:proofErr w:type="gramEnd"/>
      <w:r w:rsidRPr="00F84E5F">
        <w:rPr>
          <w:rFonts w:ascii="Arial" w:hAnsi="Arial" w:cs="Arial"/>
          <w:color w:val="000000"/>
        </w:rPr>
        <w:t xml:space="preserve"> autorizadas e crianças.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A evitar:</w:t>
      </w:r>
      <w:r w:rsidRPr="00F84E5F">
        <w:rPr>
          <w:rFonts w:ascii="Arial" w:hAnsi="Arial" w:cs="Arial"/>
          <w:color w:val="000000"/>
        </w:rPr>
        <w:t xml:space="preserve"> locais úmidos e com fontes de calor.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Produtos e materiais incompatíveis</w:t>
      </w:r>
      <w:r w:rsidRPr="00F84E5F">
        <w:rPr>
          <w:rFonts w:ascii="Arial" w:hAnsi="Arial" w:cs="Arial"/>
          <w:color w:val="000000"/>
        </w:rPr>
        <w:t>: não armazenar junto com alimentos,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bebidas, inclusive os destinados para animais.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087455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87455">
        <w:rPr>
          <w:rFonts w:ascii="Arial" w:hAnsi="Arial" w:cs="Arial"/>
          <w:b/>
          <w:color w:val="000000"/>
        </w:rPr>
        <w:t>Materiais seguros para embalagens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Recomendadas:</w:t>
      </w:r>
      <w:r w:rsidRPr="00F84E5F">
        <w:rPr>
          <w:rFonts w:ascii="Arial" w:hAnsi="Arial" w:cs="Arial"/>
          <w:color w:val="000000"/>
        </w:rPr>
        <w:t xml:space="preserve"> produto já embalado em embalagem apropriada.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8. CONTROLE DE EXPOSIÇÃO E PROTEÇÃO INDIVIDUAL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Medidas de controle de engenharia</w:t>
      </w:r>
      <w:r w:rsidRPr="00F84E5F">
        <w:rPr>
          <w:rFonts w:ascii="Arial" w:hAnsi="Arial" w:cs="Arial"/>
          <w:color w:val="000000"/>
        </w:rPr>
        <w:t xml:space="preserve">: quando aplicável utilizar ventilação </w:t>
      </w:r>
      <w:proofErr w:type="spellStart"/>
      <w:r w:rsidRPr="00F84E5F">
        <w:rPr>
          <w:rFonts w:ascii="Arial" w:hAnsi="Arial" w:cs="Arial"/>
          <w:color w:val="000000"/>
        </w:rPr>
        <w:t>exaustora</w:t>
      </w:r>
      <w:proofErr w:type="spellEnd"/>
      <w:r w:rsidRPr="00F84E5F">
        <w:rPr>
          <w:rFonts w:ascii="Arial" w:hAnsi="Arial" w:cs="Arial"/>
          <w:color w:val="000000"/>
        </w:rPr>
        <w:t xml:space="preserve"> apropriada,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visando garantir uma ventilação adequada ao local de trabalho (NR9).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Procedimentos recomendados para monitoramento</w:t>
      </w:r>
      <w:r w:rsidRPr="00F84E5F">
        <w:rPr>
          <w:rFonts w:ascii="Arial" w:hAnsi="Arial" w:cs="Arial"/>
          <w:color w:val="000000"/>
        </w:rPr>
        <w:t>: o indivíduo exposto ao MALATHION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deverá ser suspenso do trabalho quando a atividade das colinesterases nos eritrócitos ou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plasma for menor do que 50% do normal do indivíduo. Este poderá retornar as atividades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quando a colinesterase atingir </w:t>
      </w:r>
      <w:proofErr w:type="gramStart"/>
      <w:r w:rsidRPr="00F84E5F">
        <w:rPr>
          <w:rFonts w:ascii="Arial" w:hAnsi="Arial" w:cs="Arial"/>
          <w:color w:val="000000"/>
        </w:rPr>
        <w:t>cerca de 75</w:t>
      </w:r>
      <w:proofErr w:type="gramEnd"/>
      <w:r w:rsidRPr="00F84E5F">
        <w:rPr>
          <w:rFonts w:ascii="Arial" w:hAnsi="Arial" w:cs="Arial"/>
          <w:color w:val="000000"/>
        </w:rPr>
        <w:t>% do normal do indivíduo. Portanto a realização de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dosagem de colinesterase admissional torna-se importante. Em todos os casos de intoxicação,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torna-se essencial manter a vigilância geral, monitorização da atividade das colinesterases 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monitoramento cardíaco por pelo menos 4 dias, ou mais se necessário, e adotar terapia de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suporte geral e terapia específica de acordo com os dados encontrados.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087455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87455">
        <w:rPr>
          <w:rFonts w:ascii="Arial" w:hAnsi="Arial" w:cs="Arial"/>
          <w:b/>
          <w:color w:val="000000"/>
        </w:rPr>
        <w:t>Equipamentos de proteção individual: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Proteção respiratória</w:t>
      </w:r>
      <w:r w:rsidRPr="00F84E5F">
        <w:rPr>
          <w:rFonts w:ascii="Arial" w:hAnsi="Arial" w:cs="Arial"/>
          <w:color w:val="000000"/>
        </w:rPr>
        <w:t>: utilizar máscaras combinadas, com filtro químico e filtro mecânico,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ou</w:t>
      </w:r>
      <w:proofErr w:type="gramEnd"/>
      <w:r w:rsidRPr="00F84E5F">
        <w:rPr>
          <w:rFonts w:ascii="Arial" w:hAnsi="Arial" w:cs="Arial"/>
          <w:color w:val="000000"/>
        </w:rPr>
        <w:t xml:space="preserve"> máscara de borracha ou silicone com filtro para pesticidas, cobrindo nariz e boca.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lastRenderedPageBreak/>
        <w:t>Proteção para as mãos</w:t>
      </w:r>
      <w:r w:rsidRPr="00F84E5F">
        <w:rPr>
          <w:rFonts w:ascii="Arial" w:hAnsi="Arial" w:cs="Arial"/>
          <w:color w:val="000000"/>
        </w:rPr>
        <w:t>: utilizar luvas de borracha nitrílica, PVC ou outro material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impermeável</w:t>
      </w:r>
      <w:proofErr w:type="gramEnd"/>
      <w:r w:rsidRPr="00F84E5F">
        <w:rPr>
          <w:rFonts w:ascii="Arial" w:hAnsi="Arial" w:cs="Arial"/>
          <w:color w:val="000000"/>
        </w:rPr>
        <w:t>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Proteção para os olhos</w:t>
      </w:r>
      <w:r w:rsidRPr="00F84E5F">
        <w:rPr>
          <w:rFonts w:ascii="Arial" w:hAnsi="Arial" w:cs="Arial"/>
          <w:color w:val="000000"/>
        </w:rPr>
        <w:t>: utilizar óculos de segurança para produtos químicos.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Proteção para a pele e corpo</w:t>
      </w:r>
      <w:r w:rsidRPr="00F84E5F">
        <w:rPr>
          <w:rFonts w:ascii="Arial" w:hAnsi="Arial" w:cs="Arial"/>
          <w:color w:val="000000"/>
        </w:rPr>
        <w:t>: utilizar macacão de mangas compridas impermeáveis ou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hidro</w:t>
      </w:r>
      <w:proofErr w:type="gramEnd"/>
      <w:r w:rsidRPr="00F84E5F">
        <w:rPr>
          <w:rFonts w:ascii="Arial" w:hAnsi="Arial" w:cs="Arial"/>
          <w:color w:val="000000"/>
        </w:rPr>
        <w:t xml:space="preserve"> repelentes.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Precauções Especiais</w:t>
      </w:r>
      <w:r w:rsidRPr="00F84E5F">
        <w:rPr>
          <w:rFonts w:ascii="Arial" w:hAnsi="Arial" w:cs="Arial"/>
          <w:color w:val="000000"/>
        </w:rPr>
        <w:t xml:space="preserve">: manter os </w:t>
      </w:r>
      <w:proofErr w:type="spellStart"/>
      <w:r w:rsidRPr="00F84E5F">
        <w:rPr>
          <w:rFonts w:ascii="Arial" w:hAnsi="Arial" w:cs="Arial"/>
          <w:color w:val="000000"/>
        </w:rPr>
        <w:t>EPI’s</w:t>
      </w:r>
      <w:proofErr w:type="spellEnd"/>
      <w:r w:rsidRPr="00F84E5F">
        <w:rPr>
          <w:rFonts w:ascii="Arial" w:hAnsi="Arial" w:cs="Arial"/>
          <w:color w:val="000000"/>
        </w:rPr>
        <w:t xml:space="preserve"> devidamente limpos e em condições adequadas de uso,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realizando periodicamente inspeções e possíveis manutenções e/ou substituições de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equipamentos danificados.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Medidas de higiene</w:t>
      </w:r>
      <w:r w:rsidRPr="00F84E5F">
        <w:rPr>
          <w:rFonts w:ascii="Arial" w:hAnsi="Arial" w:cs="Arial"/>
          <w:color w:val="000000"/>
        </w:rPr>
        <w:t>: tomar banho e trocar de roupa após o uso do produto. Lavar as roupas</w:t>
      </w:r>
      <w:r w:rsidR="00087455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contaminadas separadamente, evitando contato com outros utensílios de uso pessoal.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9. PROPRIEDADES FÍSICO-QUÍMICAS</w:t>
      </w:r>
    </w:p>
    <w:p w:rsidR="00087455" w:rsidRDefault="00087455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Estado físico</w:t>
      </w:r>
      <w:r w:rsidRPr="00F84E5F">
        <w:rPr>
          <w:rFonts w:ascii="Arial" w:hAnsi="Arial" w:cs="Arial"/>
          <w:color w:val="000000"/>
        </w:rPr>
        <w:t>: líquido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Cor</w:t>
      </w:r>
      <w:r w:rsidRPr="00F84E5F">
        <w:rPr>
          <w:rFonts w:ascii="Arial" w:hAnsi="Arial" w:cs="Arial"/>
          <w:color w:val="000000"/>
        </w:rPr>
        <w:t xml:space="preserve">: </w:t>
      </w:r>
      <w:r w:rsidR="00087455">
        <w:rPr>
          <w:rFonts w:ascii="Arial" w:hAnsi="Arial" w:cs="Arial"/>
          <w:color w:val="000000"/>
        </w:rPr>
        <w:t>branco leitoso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87455">
        <w:rPr>
          <w:rFonts w:ascii="Arial" w:hAnsi="Arial" w:cs="Arial"/>
          <w:b/>
          <w:color w:val="000000"/>
        </w:rPr>
        <w:t>Odor</w:t>
      </w:r>
      <w:r w:rsidRPr="00F84E5F">
        <w:rPr>
          <w:rFonts w:ascii="Arial" w:hAnsi="Arial" w:cs="Arial"/>
          <w:color w:val="000000"/>
        </w:rPr>
        <w:t>: característico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87455">
        <w:rPr>
          <w:rFonts w:ascii="Arial" w:hAnsi="Arial" w:cs="Arial"/>
          <w:b/>
          <w:color w:val="000000"/>
        </w:rPr>
        <w:t>pH</w:t>
      </w:r>
      <w:proofErr w:type="gramEnd"/>
      <w:r w:rsidRPr="00F84E5F">
        <w:rPr>
          <w:rFonts w:ascii="Arial" w:hAnsi="Arial" w:cs="Arial"/>
          <w:color w:val="000000"/>
        </w:rPr>
        <w:t>: não determinado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Temperaturas específicas ou faixas de temperatura nas quais ocorrem mudanças de estado</w:t>
      </w:r>
      <w:r w:rsidR="00874F68" w:rsidRPr="00874F68">
        <w:rPr>
          <w:rFonts w:ascii="Arial" w:hAnsi="Arial" w:cs="Arial"/>
          <w:b/>
          <w:color w:val="000000"/>
        </w:rPr>
        <w:t xml:space="preserve"> </w:t>
      </w:r>
      <w:r w:rsidRPr="00874F68">
        <w:rPr>
          <w:rFonts w:ascii="Arial" w:hAnsi="Arial" w:cs="Arial"/>
          <w:b/>
          <w:color w:val="000000"/>
        </w:rPr>
        <w:t>físico: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Ponto de fusão</w:t>
      </w:r>
      <w:r w:rsidRPr="00F84E5F">
        <w:rPr>
          <w:rFonts w:ascii="Arial" w:hAnsi="Arial" w:cs="Arial"/>
          <w:color w:val="000000"/>
        </w:rPr>
        <w:t>: não aplicável por tratar-se de produto líquido.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Ponto de fulgor</w:t>
      </w:r>
      <w:r w:rsidRPr="00F84E5F">
        <w:rPr>
          <w:rFonts w:ascii="Arial" w:hAnsi="Arial" w:cs="Arial"/>
          <w:color w:val="000000"/>
        </w:rPr>
        <w:t>: o produto é inflamável.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 xml:space="preserve">Limites de </w:t>
      </w:r>
      <w:proofErr w:type="spellStart"/>
      <w:r w:rsidRPr="00874F68">
        <w:rPr>
          <w:rFonts w:ascii="Arial" w:hAnsi="Arial" w:cs="Arial"/>
          <w:b/>
          <w:color w:val="000000"/>
        </w:rPr>
        <w:t>explosividade</w:t>
      </w:r>
      <w:proofErr w:type="spellEnd"/>
      <w:r w:rsidRPr="00874F68">
        <w:rPr>
          <w:rFonts w:ascii="Arial" w:hAnsi="Arial" w:cs="Arial"/>
          <w:b/>
          <w:color w:val="000000"/>
        </w:rPr>
        <w:t xml:space="preserve"> superior /inferior</w:t>
      </w:r>
      <w:r w:rsidRPr="00F84E5F">
        <w:rPr>
          <w:rFonts w:ascii="Arial" w:hAnsi="Arial" w:cs="Arial"/>
          <w:color w:val="000000"/>
        </w:rPr>
        <w:t>: o produto não é explosivo.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Densidade:</w:t>
      </w:r>
      <w:r w:rsidRPr="00F84E5F">
        <w:rPr>
          <w:rFonts w:ascii="Arial" w:hAnsi="Arial" w:cs="Arial"/>
          <w:color w:val="000000"/>
        </w:rPr>
        <w:t xml:space="preserve"> não determinado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Solubilidade</w:t>
      </w:r>
      <w:r w:rsidRPr="00F84E5F">
        <w:rPr>
          <w:rFonts w:ascii="Arial" w:hAnsi="Arial" w:cs="Arial"/>
          <w:color w:val="000000"/>
        </w:rPr>
        <w:t>: não determinado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Coeficiente de partição água/</w:t>
      </w:r>
      <w:proofErr w:type="spellStart"/>
      <w:r w:rsidRPr="00874F68">
        <w:rPr>
          <w:rFonts w:ascii="Arial" w:hAnsi="Arial" w:cs="Arial"/>
          <w:b/>
          <w:color w:val="000000"/>
        </w:rPr>
        <w:t>octanol</w:t>
      </w:r>
      <w:proofErr w:type="spellEnd"/>
      <w:r w:rsidRPr="00F84E5F">
        <w:rPr>
          <w:rFonts w:ascii="Arial" w:hAnsi="Arial" w:cs="Arial"/>
          <w:color w:val="000000"/>
        </w:rPr>
        <w:t>: não determinado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10. ESTABILIDADE E REATIVIDADE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Instabilidade:</w:t>
      </w:r>
      <w:r w:rsidRPr="00F84E5F">
        <w:rPr>
          <w:rFonts w:ascii="Arial" w:hAnsi="Arial" w:cs="Arial"/>
          <w:color w:val="000000"/>
        </w:rPr>
        <w:t xml:space="preserve"> o produto é estável à temperatura ambiente e ao ar, sob condições normais de</w:t>
      </w:r>
      <w:r w:rsidR="00874F68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uso e armazenagem.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Reações perigosas</w:t>
      </w:r>
      <w:r w:rsidRPr="00F84E5F">
        <w:rPr>
          <w:rFonts w:ascii="Arial" w:hAnsi="Arial" w:cs="Arial"/>
          <w:color w:val="000000"/>
        </w:rPr>
        <w:t>: não há reações perigosas conhecidas.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Produtos perigosos de decomposição</w:t>
      </w:r>
      <w:r w:rsidRPr="00F84E5F">
        <w:rPr>
          <w:rFonts w:ascii="Arial" w:hAnsi="Arial" w:cs="Arial"/>
          <w:color w:val="000000"/>
        </w:rPr>
        <w:t>: a queima produz monóxido de carbono, dióxido de</w:t>
      </w:r>
      <w:r w:rsidR="00874F68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carbono, </w:t>
      </w:r>
      <w:proofErr w:type="spellStart"/>
      <w:r w:rsidRPr="00F84E5F">
        <w:rPr>
          <w:rFonts w:ascii="Arial" w:hAnsi="Arial" w:cs="Arial"/>
          <w:color w:val="000000"/>
        </w:rPr>
        <w:t>fosfetos</w:t>
      </w:r>
      <w:proofErr w:type="spellEnd"/>
      <w:r w:rsidRPr="00F84E5F">
        <w:rPr>
          <w:rFonts w:ascii="Arial" w:hAnsi="Arial" w:cs="Arial"/>
          <w:color w:val="000000"/>
        </w:rPr>
        <w:t>, sulfetos e outras substâncias orgânicas não identificáveis.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9581A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11. INFORMAÇÕES TOXICOLÓGICAS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Toxicidade aguda:</w:t>
      </w:r>
    </w:p>
    <w:p w:rsidR="00AC4836" w:rsidRDefault="00AC483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F84E5F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C920E6" w:rsidRPr="00874F68">
        <w:rPr>
          <w:rFonts w:ascii="Arial" w:hAnsi="Arial" w:cs="Arial"/>
          <w:b/>
          <w:color w:val="000000"/>
        </w:rPr>
        <w:t>L50 Oral em ratos</w:t>
      </w:r>
      <w:r w:rsidR="00C920E6" w:rsidRPr="00F84E5F">
        <w:rPr>
          <w:rFonts w:ascii="Arial" w:hAnsi="Arial" w:cs="Arial"/>
          <w:color w:val="000000"/>
        </w:rPr>
        <w:t>: 1.300 mg/kg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DL50 Dérmica em ratos</w:t>
      </w:r>
      <w:r w:rsidRPr="00F84E5F">
        <w:rPr>
          <w:rFonts w:ascii="Arial" w:hAnsi="Arial" w:cs="Arial"/>
          <w:color w:val="000000"/>
        </w:rPr>
        <w:t>: &gt; 4.000 mg/kg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Toxicidade crônica: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874F68">
        <w:rPr>
          <w:rFonts w:ascii="Arial" w:hAnsi="Arial" w:cs="Arial"/>
          <w:b/>
          <w:color w:val="000000"/>
        </w:rPr>
        <w:t>Mutagenicidade</w:t>
      </w:r>
      <w:proofErr w:type="spellEnd"/>
      <w:r w:rsidRPr="00F84E5F">
        <w:rPr>
          <w:rFonts w:ascii="Arial" w:hAnsi="Arial" w:cs="Arial"/>
          <w:color w:val="000000"/>
        </w:rPr>
        <w:t>: o ingrediente ativo é considerado não mutagênico.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874F68">
        <w:rPr>
          <w:rFonts w:ascii="Arial" w:hAnsi="Arial" w:cs="Arial"/>
          <w:b/>
          <w:color w:val="000000"/>
        </w:rPr>
        <w:t>Carcinogenicidade</w:t>
      </w:r>
      <w:proofErr w:type="spellEnd"/>
      <w:r w:rsidRPr="00F84E5F">
        <w:rPr>
          <w:rFonts w:ascii="Arial" w:hAnsi="Arial" w:cs="Arial"/>
          <w:color w:val="000000"/>
        </w:rPr>
        <w:t>: o ingrediente ativo é considerado não carcinogênico para seres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humanos</w:t>
      </w:r>
      <w:proofErr w:type="gramEnd"/>
      <w:r w:rsidRPr="00F84E5F">
        <w:rPr>
          <w:rFonts w:ascii="Arial" w:hAnsi="Arial" w:cs="Arial"/>
          <w:color w:val="000000"/>
        </w:rPr>
        <w:t>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874F68">
        <w:rPr>
          <w:rFonts w:ascii="Arial" w:hAnsi="Arial" w:cs="Arial"/>
          <w:b/>
          <w:color w:val="000000"/>
        </w:rPr>
        <w:t>Teratogenicidade</w:t>
      </w:r>
      <w:proofErr w:type="spellEnd"/>
      <w:r w:rsidRPr="00F84E5F">
        <w:rPr>
          <w:rFonts w:ascii="Arial" w:hAnsi="Arial" w:cs="Arial"/>
          <w:color w:val="000000"/>
        </w:rPr>
        <w:t>: o ingrediente ativo é considerado não teratogênico para seres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humanos</w:t>
      </w:r>
      <w:proofErr w:type="gramEnd"/>
      <w:r w:rsidRPr="00F84E5F">
        <w:rPr>
          <w:rFonts w:ascii="Arial" w:hAnsi="Arial" w:cs="Arial"/>
          <w:color w:val="000000"/>
        </w:rPr>
        <w:t>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Efeitos na reprodução</w:t>
      </w:r>
      <w:r w:rsidRPr="00F84E5F">
        <w:rPr>
          <w:rFonts w:ascii="Arial" w:hAnsi="Arial" w:cs="Arial"/>
          <w:color w:val="000000"/>
        </w:rPr>
        <w:t>: o ingrediente ativo é considerado sem efeitos reprodutivos para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seres</w:t>
      </w:r>
      <w:proofErr w:type="gramEnd"/>
      <w:r w:rsidRPr="00F84E5F">
        <w:rPr>
          <w:rFonts w:ascii="Arial" w:hAnsi="Arial" w:cs="Arial"/>
          <w:color w:val="000000"/>
        </w:rPr>
        <w:t xml:space="preserve"> humanos.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12. INFORMAÇÕES ECOLÓGICAS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Efeitos Ambientais, comportamentais e impactos do produto: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Mobilidade</w:t>
      </w:r>
      <w:r w:rsidRPr="00F84E5F">
        <w:rPr>
          <w:rFonts w:ascii="Arial" w:hAnsi="Arial" w:cs="Arial"/>
          <w:color w:val="000000"/>
        </w:rPr>
        <w:t>: o ingrediente ativo apresenta alta mobilidade no solo (HSDB, 2003).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 xml:space="preserve">Persistência ⁄ </w:t>
      </w:r>
      <w:proofErr w:type="spellStart"/>
      <w:r w:rsidRPr="00874F68">
        <w:rPr>
          <w:rFonts w:ascii="Arial" w:hAnsi="Arial" w:cs="Arial"/>
          <w:b/>
          <w:color w:val="000000"/>
        </w:rPr>
        <w:t>Degradabilidade</w:t>
      </w:r>
      <w:proofErr w:type="spellEnd"/>
      <w:r w:rsidRPr="00F84E5F">
        <w:rPr>
          <w:rFonts w:ascii="Arial" w:hAnsi="Arial" w:cs="Arial"/>
          <w:color w:val="000000"/>
        </w:rPr>
        <w:t xml:space="preserve">: a </w:t>
      </w:r>
      <w:proofErr w:type="spellStart"/>
      <w:r w:rsidRPr="00F84E5F">
        <w:rPr>
          <w:rFonts w:ascii="Arial" w:hAnsi="Arial" w:cs="Arial"/>
          <w:color w:val="000000"/>
        </w:rPr>
        <w:t>biodegradação</w:t>
      </w:r>
      <w:proofErr w:type="spellEnd"/>
      <w:r w:rsidRPr="00F84E5F">
        <w:rPr>
          <w:rFonts w:ascii="Arial" w:hAnsi="Arial" w:cs="Arial"/>
          <w:color w:val="000000"/>
        </w:rPr>
        <w:t xml:space="preserve"> do MALATHION no solo é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rápida</w:t>
      </w:r>
      <w:proofErr w:type="gramEnd"/>
      <w:r w:rsidRPr="00F84E5F">
        <w:rPr>
          <w:rFonts w:ascii="Arial" w:hAnsi="Arial" w:cs="Arial"/>
          <w:color w:val="000000"/>
        </w:rPr>
        <w:t xml:space="preserve"> cerca de 80 - 90% em 10 dias. A meia – vida do ingrediente ativo no mar é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de</w:t>
      </w:r>
      <w:proofErr w:type="gramEnd"/>
      <w:r w:rsidRPr="00F84E5F">
        <w:rPr>
          <w:rFonts w:ascii="Arial" w:hAnsi="Arial" w:cs="Arial"/>
          <w:color w:val="000000"/>
        </w:rPr>
        <w:t xml:space="preserve"> aproximadamente 2 a 11 dias (HSDB, 2003). O ingrediente ativo quando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exposto</w:t>
      </w:r>
      <w:proofErr w:type="gramEnd"/>
      <w:r w:rsidRPr="00F84E5F">
        <w:rPr>
          <w:rFonts w:ascii="Arial" w:hAnsi="Arial" w:cs="Arial"/>
          <w:color w:val="000000"/>
        </w:rPr>
        <w:t xml:space="preserve"> à luz solar degrada-se rapidamente (EXTOXNET, 2003)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 xml:space="preserve">Bioconcentração: </w:t>
      </w:r>
      <w:r w:rsidRPr="00F84E5F">
        <w:rPr>
          <w:rFonts w:ascii="Arial" w:hAnsi="Arial" w:cs="Arial"/>
          <w:color w:val="000000"/>
        </w:rPr>
        <w:t>o ingrediente ativo apresenta Fator de Bioconcentração (BCF)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>13, sugerindo que o potencial de bioconcentração aquático é baixo (HSDB, 2003).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874F68">
        <w:rPr>
          <w:rFonts w:ascii="Arial" w:hAnsi="Arial" w:cs="Arial"/>
          <w:b/>
          <w:color w:val="000000"/>
        </w:rPr>
        <w:t>Ecotoxicidade</w:t>
      </w:r>
      <w:proofErr w:type="spellEnd"/>
      <w:r w:rsidRPr="00874F68">
        <w:rPr>
          <w:rFonts w:ascii="Arial" w:hAnsi="Arial" w:cs="Arial"/>
          <w:b/>
          <w:color w:val="000000"/>
        </w:rPr>
        <w:t>: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Dados referentes ao MALATHION (ECOTOX, 2003)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Toxicidade para peixes (</w:t>
      </w:r>
      <w:proofErr w:type="spellStart"/>
      <w:r w:rsidRPr="00874F68">
        <w:rPr>
          <w:rFonts w:ascii="Arial" w:hAnsi="Arial" w:cs="Arial"/>
          <w:b/>
          <w:i/>
          <w:iCs/>
          <w:color w:val="000000"/>
        </w:rPr>
        <w:t>Cyprinodon</w:t>
      </w:r>
      <w:proofErr w:type="spellEnd"/>
      <w:r w:rsidRPr="00874F68">
        <w:rPr>
          <w:rFonts w:ascii="Arial" w:hAnsi="Arial" w:cs="Arial"/>
          <w:b/>
          <w:i/>
          <w:iCs/>
          <w:color w:val="000000"/>
        </w:rPr>
        <w:t xml:space="preserve"> </w:t>
      </w:r>
      <w:proofErr w:type="spellStart"/>
      <w:r w:rsidRPr="00874F68">
        <w:rPr>
          <w:rFonts w:ascii="Arial" w:hAnsi="Arial" w:cs="Arial"/>
          <w:b/>
          <w:i/>
          <w:iCs/>
          <w:color w:val="000000"/>
        </w:rPr>
        <w:t>variegatus</w:t>
      </w:r>
      <w:proofErr w:type="spellEnd"/>
      <w:r w:rsidRPr="00874F68">
        <w:rPr>
          <w:rFonts w:ascii="Arial" w:hAnsi="Arial" w:cs="Arial"/>
          <w:b/>
          <w:color w:val="000000"/>
        </w:rPr>
        <w:t>):</w:t>
      </w:r>
      <w:r w:rsidRPr="00F84E5F">
        <w:rPr>
          <w:rFonts w:ascii="Arial" w:hAnsi="Arial" w:cs="Arial"/>
          <w:color w:val="000000"/>
        </w:rPr>
        <w:t xml:space="preserve"> CL50 (96h) = 33μg/L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Toxicidade para patos (</w:t>
      </w:r>
      <w:proofErr w:type="spellStart"/>
      <w:r w:rsidRPr="00874F68">
        <w:rPr>
          <w:rFonts w:ascii="Arial" w:hAnsi="Arial" w:cs="Arial"/>
          <w:b/>
          <w:i/>
          <w:iCs/>
          <w:color w:val="000000"/>
        </w:rPr>
        <w:t>Mallard</w:t>
      </w:r>
      <w:proofErr w:type="spellEnd"/>
      <w:r w:rsidRPr="00874F68">
        <w:rPr>
          <w:rFonts w:ascii="Arial" w:hAnsi="Arial" w:cs="Arial"/>
          <w:b/>
          <w:i/>
          <w:iCs/>
          <w:color w:val="000000"/>
        </w:rPr>
        <w:t xml:space="preserve"> </w:t>
      </w:r>
      <w:proofErr w:type="spellStart"/>
      <w:r w:rsidRPr="00874F68">
        <w:rPr>
          <w:rFonts w:ascii="Arial" w:hAnsi="Arial" w:cs="Arial"/>
          <w:b/>
          <w:i/>
          <w:iCs/>
          <w:color w:val="000000"/>
        </w:rPr>
        <w:t>duck</w:t>
      </w:r>
      <w:proofErr w:type="spellEnd"/>
      <w:r w:rsidRPr="00874F68">
        <w:rPr>
          <w:rFonts w:ascii="Arial" w:hAnsi="Arial" w:cs="Arial"/>
          <w:b/>
          <w:color w:val="000000"/>
        </w:rPr>
        <w:t>)</w:t>
      </w:r>
      <w:r w:rsidRPr="00F84E5F">
        <w:rPr>
          <w:rFonts w:ascii="Arial" w:hAnsi="Arial" w:cs="Arial"/>
          <w:color w:val="000000"/>
        </w:rPr>
        <w:t>: DL50 1,485mg⁄kg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Toxicidade para codornas</w:t>
      </w:r>
      <w:r w:rsidRPr="00F84E5F">
        <w:rPr>
          <w:rFonts w:ascii="Arial" w:hAnsi="Arial" w:cs="Arial"/>
          <w:color w:val="000000"/>
        </w:rPr>
        <w:t>: CL50 3,497ppm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Toxicidade para abelhas (</w:t>
      </w:r>
      <w:proofErr w:type="spellStart"/>
      <w:r w:rsidRPr="00874F68">
        <w:rPr>
          <w:rFonts w:ascii="Arial" w:hAnsi="Arial" w:cs="Arial"/>
          <w:b/>
          <w:i/>
          <w:iCs/>
          <w:color w:val="000000"/>
        </w:rPr>
        <w:t>Apis</w:t>
      </w:r>
      <w:proofErr w:type="spellEnd"/>
      <w:r w:rsidRPr="00874F68">
        <w:rPr>
          <w:rFonts w:ascii="Arial" w:hAnsi="Arial" w:cs="Arial"/>
          <w:b/>
          <w:i/>
          <w:iCs/>
          <w:color w:val="000000"/>
        </w:rPr>
        <w:t xml:space="preserve"> melífera</w:t>
      </w:r>
      <w:r w:rsidRPr="00874F68">
        <w:rPr>
          <w:rFonts w:ascii="Arial" w:hAnsi="Arial" w:cs="Arial"/>
          <w:b/>
          <w:color w:val="000000"/>
        </w:rPr>
        <w:t>):</w:t>
      </w:r>
      <w:r w:rsidRPr="00F84E5F">
        <w:rPr>
          <w:rFonts w:ascii="Arial" w:hAnsi="Arial" w:cs="Arial"/>
          <w:color w:val="000000"/>
        </w:rPr>
        <w:t xml:space="preserve"> DL50 (48h) = 0,38 </w:t>
      </w:r>
      <w:proofErr w:type="spellStart"/>
      <w:r w:rsidRPr="00F84E5F">
        <w:rPr>
          <w:rFonts w:ascii="Arial" w:hAnsi="Arial" w:cs="Arial"/>
          <w:color w:val="000000"/>
        </w:rPr>
        <w:t>μg</w:t>
      </w:r>
      <w:proofErr w:type="spellEnd"/>
      <w:r w:rsidRPr="00F84E5F">
        <w:rPr>
          <w:rFonts w:ascii="Arial" w:hAnsi="Arial" w:cs="Arial"/>
          <w:color w:val="000000"/>
        </w:rPr>
        <w:t>/abelha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 xml:space="preserve">Toxicidade para </w:t>
      </w:r>
      <w:proofErr w:type="spellStart"/>
      <w:r w:rsidRPr="00874F68">
        <w:rPr>
          <w:rFonts w:ascii="Arial" w:hAnsi="Arial" w:cs="Arial"/>
          <w:b/>
          <w:color w:val="000000"/>
        </w:rPr>
        <w:t>microcrustáceos</w:t>
      </w:r>
      <w:proofErr w:type="spellEnd"/>
      <w:r w:rsidRPr="00874F68">
        <w:rPr>
          <w:rFonts w:ascii="Arial" w:hAnsi="Arial" w:cs="Arial"/>
          <w:b/>
          <w:color w:val="000000"/>
        </w:rPr>
        <w:t xml:space="preserve"> (</w:t>
      </w:r>
      <w:proofErr w:type="spellStart"/>
      <w:r w:rsidRPr="00874F68">
        <w:rPr>
          <w:rFonts w:ascii="Arial" w:hAnsi="Arial" w:cs="Arial"/>
          <w:b/>
          <w:i/>
          <w:iCs/>
          <w:color w:val="000000"/>
        </w:rPr>
        <w:t>Daphnia</w:t>
      </w:r>
      <w:proofErr w:type="spellEnd"/>
      <w:r w:rsidRPr="00874F68">
        <w:rPr>
          <w:rFonts w:ascii="Arial" w:hAnsi="Arial" w:cs="Arial"/>
          <w:b/>
          <w:i/>
          <w:iCs/>
          <w:color w:val="000000"/>
        </w:rPr>
        <w:t xml:space="preserve"> magna</w:t>
      </w:r>
      <w:r w:rsidRPr="00874F68">
        <w:rPr>
          <w:rFonts w:ascii="Arial" w:hAnsi="Arial" w:cs="Arial"/>
          <w:b/>
          <w:color w:val="000000"/>
        </w:rPr>
        <w:t>):</w:t>
      </w:r>
      <w:r w:rsidRPr="00F84E5F">
        <w:rPr>
          <w:rFonts w:ascii="Arial" w:hAnsi="Arial" w:cs="Arial"/>
          <w:color w:val="000000"/>
        </w:rPr>
        <w:t xml:space="preserve"> CE50(48h) = 2,2μg/L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13. CONSIDERAÇÕES SOBRE TRATAMENTO E DISPOSIÇÃO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Métodos de tratamento e disposição: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Produto</w:t>
      </w:r>
      <w:r w:rsidRPr="00F84E5F">
        <w:rPr>
          <w:rFonts w:ascii="Arial" w:hAnsi="Arial" w:cs="Arial"/>
          <w:color w:val="000000"/>
        </w:rPr>
        <w:t>: desativar o produto através de incineração em fornos destinados para este tipo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de</w:t>
      </w:r>
      <w:proofErr w:type="gramEnd"/>
      <w:r w:rsidRPr="00F84E5F">
        <w:rPr>
          <w:rFonts w:ascii="Arial" w:hAnsi="Arial" w:cs="Arial"/>
          <w:color w:val="000000"/>
        </w:rPr>
        <w:t xml:space="preserve"> operação, equipados com câmaras de lavagem de gases efluentes e aprovados por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lastRenderedPageBreak/>
        <w:t>órgão</w:t>
      </w:r>
      <w:proofErr w:type="gramEnd"/>
      <w:r w:rsidRPr="00F84E5F">
        <w:rPr>
          <w:rFonts w:ascii="Arial" w:hAnsi="Arial" w:cs="Arial"/>
          <w:color w:val="000000"/>
        </w:rPr>
        <w:t xml:space="preserve"> competente.</w:t>
      </w:r>
    </w:p>
    <w:p w:rsidR="00AA00D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Restos de produtos</w:t>
      </w:r>
      <w:r w:rsidRPr="00F84E5F">
        <w:rPr>
          <w:rFonts w:ascii="Arial" w:hAnsi="Arial" w:cs="Arial"/>
          <w:color w:val="000000"/>
        </w:rPr>
        <w:t>: manter as eventuais sobras dos produtos e ou com validade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vencida</w:t>
      </w:r>
      <w:proofErr w:type="gramEnd"/>
      <w:r w:rsidRPr="00F84E5F">
        <w:rPr>
          <w:rFonts w:ascii="Arial" w:hAnsi="Arial" w:cs="Arial"/>
          <w:color w:val="000000"/>
        </w:rPr>
        <w:t xml:space="preserve"> em suas embalagens originais adequadamente fechadas.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Embalagem usada</w:t>
      </w:r>
      <w:r w:rsidRPr="00F84E5F">
        <w:rPr>
          <w:rFonts w:ascii="Arial" w:hAnsi="Arial" w:cs="Arial"/>
          <w:color w:val="000000"/>
        </w:rPr>
        <w:t>: as embalagens vazias deverão ser submetidas à tríplice lavagem e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F84E5F">
        <w:rPr>
          <w:rFonts w:ascii="Arial" w:hAnsi="Arial" w:cs="Arial"/>
          <w:color w:val="000000"/>
        </w:rPr>
        <w:t>armazenadas</w:t>
      </w:r>
      <w:proofErr w:type="gramEnd"/>
      <w:r w:rsidRPr="00F84E5F">
        <w:rPr>
          <w:rFonts w:ascii="Arial" w:hAnsi="Arial" w:cs="Arial"/>
          <w:color w:val="000000"/>
        </w:rPr>
        <w:t xml:space="preserve"> em local seguro para posterior devolução no</w:t>
      </w:r>
      <w:r w:rsidR="00874F68">
        <w:rPr>
          <w:rFonts w:ascii="Arial" w:hAnsi="Arial" w:cs="Arial"/>
          <w:color w:val="000000"/>
        </w:rPr>
        <w:t>s órgãos ambientais das prefeituras que possuem programas de reciclagem ou deverão ser furados e descartados no lixo comum para os locais de aterros domésticos.</w:t>
      </w:r>
      <w:r w:rsidRPr="00F84E5F">
        <w:rPr>
          <w:rFonts w:ascii="Arial" w:hAnsi="Arial" w:cs="Arial"/>
          <w:color w:val="000000"/>
        </w:rPr>
        <w:t xml:space="preserve"> Não queime nem enterre as embalagens.</w:t>
      </w:r>
      <w:r w:rsidR="00874F68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Observe Legislação Estadual e Municipal específicas. Consulte o Órgão Estadual ou</w:t>
      </w:r>
      <w:r w:rsidR="00874F68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Municipal de meio ambiente.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14. INFORMAÇÕES SOBRE TRANSPORTE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874F68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4F68">
        <w:rPr>
          <w:rFonts w:ascii="Arial" w:hAnsi="Arial" w:cs="Arial"/>
          <w:b/>
          <w:color w:val="000000"/>
        </w:rPr>
        <w:t>Regulamentações nacionais e internacionais:</w:t>
      </w:r>
    </w:p>
    <w:p w:rsidR="00874F68" w:rsidRDefault="00874F6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F68">
        <w:rPr>
          <w:rFonts w:ascii="Arial" w:hAnsi="Arial" w:cs="Arial"/>
          <w:b/>
          <w:color w:val="000000"/>
        </w:rPr>
        <w:t>Terrestres:</w:t>
      </w:r>
      <w:r w:rsidRPr="00F84E5F">
        <w:rPr>
          <w:rFonts w:ascii="Arial" w:hAnsi="Arial" w:cs="Arial"/>
          <w:color w:val="000000"/>
        </w:rPr>
        <w:t xml:space="preserve"> Número ONU 3017 - Pesticida à base de </w:t>
      </w:r>
      <w:proofErr w:type="spellStart"/>
      <w:r w:rsidRPr="00F84E5F">
        <w:rPr>
          <w:rFonts w:ascii="Arial" w:hAnsi="Arial" w:cs="Arial"/>
          <w:color w:val="000000"/>
        </w:rPr>
        <w:t>organofosforado</w:t>
      </w:r>
      <w:proofErr w:type="spellEnd"/>
      <w:r w:rsidRPr="00F84E5F">
        <w:rPr>
          <w:rFonts w:ascii="Arial" w:hAnsi="Arial" w:cs="Arial"/>
          <w:color w:val="000000"/>
        </w:rPr>
        <w:t xml:space="preserve"> líquidos, tóxicos,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F84E5F">
        <w:rPr>
          <w:rFonts w:ascii="Arial" w:hAnsi="Arial" w:cs="Arial"/>
          <w:color w:val="000000"/>
        </w:rPr>
        <w:t>inlamáveis</w:t>
      </w:r>
      <w:proofErr w:type="spellEnd"/>
      <w:proofErr w:type="gramEnd"/>
      <w:r w:rsidRPr="00F84E5F">
        <w:rPr>
          <w:rFonts w:ascii="Arial" w:hAnsi="Arial" w:cs="Arial"/>
          <w:color w:val="000000"/>
        </w:rPr>
        <w:t xml:space="preserve"> N.E.com </w:t>
      </w:r>
      <w:proofErr w:type="spellStart"/>
      <w:r w:rsidRPr="00F84E5F">
        <w:rPr>
          <w:rFonts w:ascii="Arial" w:hAnsi="Arial" w:cs="Arial"/>
          <w:color w:val="000000"/>
        </w:rPr>
        <w:t>PFg</w:t>
      </w:r>
      <w:proofErr w:type="spellEnd"/>
      <w:r w:rsidRPr="00F84E5F">
        <w:rPr>
          <w:rFonts w:ascii="Arial" w:hAnsi="Arial" w:cs="Arial"/>
          <w:color w:val="000000"/>
        </w:rPr>
        <w:t xml:space="preserve"> igual ou superior a 23°C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Marítimo:</w:t>
      </w:r>
      <w:r w:rsidRPr="00F84E5F">
        <w:rPr>
          <w:rFonts w:ascii="Arial" w:hAnsi="Arial" w:cs="Arial"/>
          <w:color w:val="000000"/>
        </w:rPr>
        <w:t xml:space="preserve"> (IMO) Classe de Risco = 6.1, Substâncias Tóxicas - No ONU = 3017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Aéreo</w:t>
      </w:r>
      <w:r w:rsidRPr="00F84E5F">
        <w:rPr>
          <w:rFonts w:ascii="Arial" w:hAnsi="Arial" w:cs="Arial"/>
          <w:color w:val="000000"/>
        </w:rPr>
        <w:t>: (ICAO/IATA) Classe de Risco = 6.1, Substâncias Tóxicas – No ONU = 3017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920E6" w:rsidRPr="005D48FA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48FA">
        <w:rPr>
          <w:rFonts w:ascii="Arial" w:hAnsi="Arial" w:cs="Arial"/>
          <w:b/>
          <w:color w:val="000000"/>
        </w:rPr>
        <w:t>Para produto classificado como perigoso para o transporte: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Número ONU</w:t>
      </w:r>
      <w:r w:rsidRPr="00F84E5F">
        <w:rPr>
          <w:rFonts w:ascii="Arial" w:hAnsi="Arial" w:cs="Arial"/>
          <w:color w:val="000000"/>
        </w:rPr>
        <w:t>: 3017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Nome apropriado para embarque</w:t>
      </w:r>
      <w:r w:rsidRPr="00F84E5F">
        <w:rPr>
          <w:rFonts w:ascii="Arial" w:hAnsi="Arial" w:cs="Arial"/>
          <w:color w:val="000000"/>
        </w:rPr>
        <w:t xml:space="preserve">: Pesticida à base de </w:t>
      </w:r>
      <w:proofErr w:type="spellStart"/>
      <w:r w:rsidRPr="00F84E5F">
        <w:rPr>
          <w:rFonts w:ascii="Arial" w:hAnsi="Arial" w:cs="Arial"/>
          <w:color w:val="000000"/>
        </w:rPr>
        <w:t>organofosforado</w:t>
      </w:r>
      <w:proofErr w:type="spellEnd"/>
      <w:r w:rsidRPr="00F84E5F">
        <w:rPr>
          <w:rFonts w:ascii="Arial" w:hAnsi="Arial" w:cs="Arial"/>
          <w:color w:val="000000"/>
        </w:rPr>
        <w:t xml:space="preserve"> líquidos, tóxicos,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 xml:space="preserve">inflamáveis N.E.com </w:t>
      </w:r>
      <w:proofErr w:type="spellStart"/>
      <w:proofErr w:type="gramStart"/>
      <w:r w:rsidRPr="00F84E5F">
        <w:rPr>
          <w:rFonts w:ascii="Arial" w:hAnsi="Arial" w:cs="Arial"/>
          <w:color w:val="000000"/>
        </w:rPr>
        <w:t>PFg</w:t>
      </w:r>
      <w:proofErr w:type="spellEnd"/>
      <w:proofErr w:type="gramEnd"/>
      <w:r w:rsidRPr="00F84E5F">
        <w:rPr>
          <w:rFonts w:ascii="Arial" w:hAnsi="Arial" w:cs="Arial"/>
          <w:color w:val="000000"/>
        </w:rPr>
        <w:t xml:space="preserve"> igual ou superior a 23°C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Classe de risco</w:t>
      </w:r>
      <w:r w:rsidRPr="00F84E5F">
        <w:rPr>
          <w:rFonts w:ascii="Arial" w:hAnsi="Arial" w:cs="Arial"/>
          <w:color w:val="000000"/>
        </w:rPr>
        <w:t>: 6.1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Risco subsidiário</w:t>
      </w:r>
      <w:r w:rsidRPr="00F84E5F">
        <w:rPr>
          <w:rFonts w:ascii="Arial" w:hAnsi="Arial" w:cs="Arial"/>
          <w:color w:val="000000"/>
        </w:rPr>
        <w:t>: 3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Número de risco</w:t>
      </w:r>
      <w:r w:rsidRPr="00F84E5F">
        <w:rPr>
          <w:rFonts w:ascii="Arial" w:hAnsi="Arial" w:cs="Arial"/>
          <w:color w:val="000000"/>
        </w:rPr>
        <w:t xml:space="preserve">: </w:t>
      </w:r>
      <w:r w:rsidR="00C71965">
        <w:rPr>
          <w:rFonts w:ascii="Arial" w:hAnsi="Arial" w:cs="Arial"/>
          <w:color w:val="000000"/>
        </w:rPr>
        <w:t>60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D48FA">
        <w:rPr>
          <w:rFonts w:ascii="Arial" w:hAnsi="Arial" w:cs="Arial"/>
          <w:b/>
          <w:color w:val="000000"/>
        </w:rPr>
        <w:t>Grupo de embalagem</w:t>
      </w:r>
      <w:r w:rsidRPr="00F84E5F">
        <w:rPr>
          <w:rFonts w:ascii="Arial" w:hAnsi="Arial" w:cs="Arial"/>
          <w:color w:val="000000"/>
        </w:rPr>
        <w:t>: III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15. REGULAMENTAÇÕES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5D48FA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48FA">
        <w:rPr>
          <w:rFonts w:ascii="Arial" w:hAnsi="Arial" w:cs="Arial"/>
          <w:b/>
          <w:color w:val="000000"/>
        </w:rPr>
        <w:t>Regulamentações: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D48FA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 xml:space="preserve">Registrado no Ministério da Saúde sob o n° </w:t>
      </w:r>
      <w:r w:rsidR="00C7169B" w:rsidRPr="00C7169B">
        <w:rPr>
          <w:rFonts w:ascii="Arial" w:eastAsia="Times New Roman" w:hAnsi="Arial" w:cs="Arial"/>
          <w:sz w:val="20"/>
          <w:szCs w:val="20"/>
        </w:rPr>
        <w:t>3.2068.0030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5D48FA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48FA">
        <w:rPr>
          <w:rFonts w:ascii="Arial" w:hAnsi="Arial" w:cs="Arial"/>
          <w:b/>
          <w:color w:val="000000"/>
        </w:rPr>
        <w:t>Informações sobre risco e segurança conforme escritas no rótulo: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>Conservar o produto longe do alcance de crianças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Não aplicar sobre alimentos e utensílios de cozinha, plantas e aquários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Não fumar durante a aplicação</w:t>
      </w:r>
    </w:p>
    <w:p w:rsidR="008F33C8" w:rsidRDefault="000519E9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pict>
          <v:shape id="_x0000_s1041" type="#_x0000_t202" style="position:absolute;left:0;text-align:left;margin-left:-9.3pt;margin-top:66.7pt;width:462pt;height:53.65pt;z-index:251673600;mso-height-percent:200;mso-height-percent:200;mso-width-relative:margin;mso-height-relative:margin" stroked="f">
            <v:textbox style="mso-fit-shape-to-text:t">
              <w:txbxContent>
                <w:p w:rsidR="00AA00DF" w:rsidRPr="00155108" w:rsidRDefault="00AA00DF" w:rsidP="00AA00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 xml:space="preserve">Data da elaboração: Dezembro/2000                                                         Data da revisão </w:t>
                  </w:r>
                  <w:r w:rsidR="00F65B34">
                    <w:rPr>
                      <w:rFonts w:ascii="Arial" w:hAnsi="Arial" w:cs="Arial"/>
                      <w:sz w:val="20"/>
                      <w:szCs w:val="20"/>
                    </w:rPr>
                    <w:t>03/03/2010</w:t>
                  </w:r>
                </w:p>
                <w:p w:rsidR="00AA00DF" w:rsidRPr="00155108" w:rsidRDefault="00AA00DF" w:rsidP="00AA00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Número de revisão: (0</w:t>
                  </w:r>
                  <w:r w:rsidR="00F65B3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15510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920E6" w:rsidRPr="00F84E5F">
        <w:rPr>
          <w:rFonts w:ascii="Arial" w:hAnsi="Arial" w:cs="Arial"/>
          <w:color w:val="000000"/>
        </w:rPr>
        <w:t>Em caso de intoxicação, procurar o Centro de Intoxicações ou Serviço de Saúde, levando a</w:t>
      </w:r>
      <w:r w:rsidR="005D48FA">
        <w:rPr>
          <w:rFonts w:ascii="Arial" w:hAnsi="Arial" w:cs="Arial"/>
          <w:color w:val="000000"/>
        </w:rPr>
        <w:t xml:space="preserve"> </w:t>
      </w:r>
      <w:r w:rsidR="00C920E6" w:rsidRPr="00F84E5F">
        <w:rPr>
          <w:rFonts w:ascii="Arial" w:hAnsi="Arial" w:cs="Arial"/>
          <w:color w:val="000000"/>
        </w:rPr>
        <w:t>embalagem do produto.</w:t>
      </w:r>
      <w:r w:rsidR="005D48FA">
        <w:rPr>
          <w:rFonts w:ascii="Arial" w:hAnsi="Arial" w:cs="Arial"/>
          <w:color w:val="000000"/>
        </w:rPr>
        <w:t xml:space="preserve"> </w:t>
      </w:r>
      <w:r w:rsidR="00C920E6" w:rsidRPr="00F84E5F">
        <w:rPr>
          <w:rFonts w:ascii="Arial" w:hAnsi="Arial" w:cs="Arial"/>
          <w:color w:val="000000"/>
        </w:rPr>
        <w:t>Manter o produto na embalagem original</w:t>
      </w:r>
      <w:r w:rsidR="005D48FA">
        <w:rPr>
          <w:rFonts w:ascii="Arial" w:hAnsi="Arial" w:cs="Arial"/>
          <w:color w:val="000000"/>
        </w:rPr>
        <w:t xml:space="preserve">. </w:t>
      </w:r>
      <w:r w:rsidR="00C920E6" w:rsidRPr="00F84E5F">
        <w:rPr>
          <w:rFonts w:ascii="Arial" w:hAnsi="Arial" w:cs="Arial"/>
          <w:color w:val="000000"/>
        </w:rPr>
        <w:t>Não reutilizar as embalagens vazias</w:t>
      </w:r>
      <w:r w:rsidR="005D48FA">
        <w:rPr>
          <w:rFonts w:ascii="Arial" w:hAnsi="Arial" w:cs="Arial"/>
          <w:color w:val="000000"/>
        </w:rPr>
        <w:t xml:space="preserve">. </w:t>
      </w:r>
      <w:r w:rsidR="00C920E6" w:rsidRPr="00F84E5F">
        <w:rPr>
          <w:rFonts w:ascii="Arial" w:hAnsi="Arial" w:cs="Arial"/>
          <w:color w:val="000000"/>
        </w:rPr>
        <w:t xml:space="preserve">Em caso de contato direto com o produto, lavar a parte atingida com </w:t>
      </w:r>
    </w:p>
    <w:p w:rsidR="008F33C8" w:rsidRDefault="008F33C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F33C8" w:rsidRDefault="008F33C8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49581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</w:t>
      </w:r>
      <w:r w:rsidR="00C920E6" w:rsidRPr="00F84E5F">
        <w:rPr>
          <w:rFonts w:ascii="Arial" w:hAnsi="Arial" w:cs="Arial"/>
          <w:color w:val="000000"/>
        </w:rPr>
        <w:t>gua e sabão</w:t>
      </w:r>
      <w:r w:rsidR="005D48FA">
        <w:rPr>
          <w:rFonts w:ascii="Arial" w:hAnsi="Arial" w:cs="Arial"/>
          <w:color w:val="000000"/>
        </w:rPr>
        <w:t xml:space="preserve">. </w:t>
      </w:r>
      <w:r w:rsidR="00C920E6" w:rsidRPr="00F84E5F">
        <w:rPr>
          <w:rFonts w:ascii="Arial" w:hAnsi="Arial" w:cs="Arial"/>
          <w:color w:val="000000"/>
        </w:rPr>
        <w:t>Em caso de contato com os olhos, lavar com água corrente em abundância</w:t>
      </w:r>
      <w:r w:rsidR="005D48FA">
        <w:rPr>
          <w:rFonts w:ascii="Arial" w:hAnsi="Arial" w:cs="Arial"/>
          <w:color w:val="000000"/>
        </w:rPr>
        <w:t xml:space="preserve">. </w:t>
      </w:r>
      <w:r w:rsidR="00C920E6" w:rsidRPr="00F84E5F">
        <w:rPr>
          <w:rFonts w:ascii="Arial" w:hAnsi="Arial" w:cs="Arial"/>
          <w:color w:val="000000"/>
        </w:rPr>
        <w:t>Se inalado em excesso, remover a pessoa para o local ventilado.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>Embalagens vazias devem ser levadas até o local indicado para o recolhimento para ser feito o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descarte por incineração, normalmente o serviço é prestado pela Secretaria do Meio Ambiente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das Prefeituras Municipais</w:t>
      </w:r>
      <w:r w:rsidR="005D48FA">
        <w:rPr>
          <w:rFonts w:ascii="Arial" w:hAnsi="Arial" w:cs="Arial"/>
          <w:color w:val="000000"/>
        </w:rPr>
        <w:t xml:space="preserve">. </w:t>
      </w:r>
      <w:r w:rsidRPr="00F84E5F">
        <w:rPr>
          <w:rFonts w:ascii="Arial" w:hAnsi="Arial" w:cs="Arial"/>
          <w:color w:val="000000"/>
        </w:rPr>
        <w:t>Pode ser fatal se ingerido. Em caso de ingestão não provocar o vômito</w:t>
      </w:r>
      <w:r w:rsidR="005D48FA">
        <w:rPr>
          <w:rFonts w:ascii="Arial" w:hAnsi="Arial" w:cs="Arial"/>
          <w:color w:val="000000"/>
        </w:rPr>
        <w:t xml:space="preserve">. </w:t>
      </w:r>
      <w:r w:rsidRPr="00F84E5F">
        <w:rPr>
          <w:rFonts w:ascii="Arial" w:hAnsi="Arial" w:cs="Arial"/>
          <w:color w:val="000000"/>
        </w:rPr>
        <w:t>Não jogue no fogo ou incinerador. Perigoso se aplicado próximo a chamas ou superfícies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aquecidas</w:t>
      </w: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 xml:space="preserve">Durante a aplicação não devem permanecer no </w:t>
      </w:r>
      <w:proofErr w:type="gramStart"/>
      <w:r w:rsidRPr="00F84E5F">
        <w:rPr>
          <w:rFonts w:ascii="Arial" w:hAnsi="Arial" w:cs="Arial"/>
          <w:color w:val="000000"/>
        </w:rPr>
        <w:t>local pessoas ou animais</w:t>
      </w:r>
      <w:proofErr w:type="gramEnd"/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84E5F">
        <w:rPr>
          <w:rFonts w:ascii="Arial" w:hAnsi="Arial" w:cs="Arial"/>
          <w:b/>
          <w:bCs/>
          <w:color w:val="000000"/>
        </w:rPr>
        <w:t>16. OUTRAS INFORMAÇÕES</w:t>
      </w:r>
    </w:p>
    <w:p w:rsidR="005D48FA" w:rsidRDefault="005D48FA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920E6" w:rsidRPr="00F84E5F" w:rsidRDefault="00C920E6" w:rsidP="005D48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84E5F">
        <w:rPr>
          <w:rFonts w:ascii="Arial" w:hAnsi="Arial" w:cs="Arial"/>
          <w:color w:val="000000"/>
        </w:rPr>
        <w:t xml:space="preserve">Esta Ficha foi elaborada por </w:t>
      </w:r>
      <w:r w:rsidR="005D48FA" w:rsidRPr="005D48FA">
        <w:rPr>
          <w:rFonts w:ascii="Arial" w:hAnsi="Arial" w:cs="Arial"/>
          <w:b/>
          <w:color w:val="0000FF"/>
        </w:rPr>
        <w:t xml:space="preserve">BIOCARB </w:t>
      </w:r>
      <w:proofErr w:type="gramStart"/>
      <w:r w:rsidR="005D48FA" w:rsidRPr="005D48FA">
        <w:rPr>
          <w:rFonts w:ascii="Arial" w:hAnsi="Arial" w:cs="Arial"/>
          <w:b/>
          <w:color w:val="0000FF"/>
        </w:rPr>
        <w:t>INDUSTRIA</w:t>
      </w:r>
      <w:proofErr w:type="gramEnd"/>
      <w:r w:rsidR="005D48FA" w:rsidRPr="005D48FA">
        <w:rPr>
          <w:rFonts w:ascii="Arial" w:hAnsi="Arial" w:cs="Arial"/>
          <w:b/>
          <w:color w:val="0000FF"/>
        </w:rPr>
        <w:t xml:space="preserve"> QUÍMICA LTDA</w:t>
      </w:r>
      <w:r w:rsidR="005D48FA">
        <w:rPr>
          <w:rFonts w:ascii="Arial" w:hAnsi="Arial" w:cs="Arial"/>
          <w:color w:val="000000"/>
        </w:rPr>
        <w:t xml:space="preserve">. </w:t>
      </w:r>
      <w:r w:rsidRPr="00F84E5F">
        <w:rPr>
          <w:rFonts w:ascii="Arial" w:hAnsi="Arial" w:cs="Arial"/>
          <w:color w:val="000000"/>
        </w:rPr>
        <w:t xml:space="preserve"> As informações desta FISPQ representam os dados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atuais e refletem com exatidão o nosso melhor conhecimento para o manuseio apropriado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deste produto de acordo com as especificações constantes no rótulo e bula. Quaisquer</w:t>
      </w:r>
      <w:r w:rsidR="005D48FA">
        <w:rPr>
          <w:rFonts w:ascii="Arial" w:hAnsi="Arial" w:cs="Arial"/>
          <w:color w:val="000000"/>
        </w:rPr>
        <w:t xml:space="preserve"> </w:t>
      </w:r>
      <w:r w:rsidRPr="00F84E5F">
        <w:rPr>
          <w:rFonts w:ascii="Arial" w:hAnsi="Arial" w:cs="Arial"/>
          <w:color w:val="000000"/>
        </w:rPr>
        <w:t>outros usos do produto que não os recomendados, serão de responsabilidade do usuário</w:t>
      </w:r>
      <w:r w:rsidR="005D48FA">
        <w:rPr>
          <w:rFonts w:ascii="Arial" w:hAnsi="Arial" w:cs="Arial"/>
          <w:color w:val="000000"/>
        </w:rPr>
        <w:t>.</w:t>
      </w:r>
    </w:p>
    <w:p w:rsidR="007F4F2A" w:rsidRPr="00F84E5F" w:rsidRDefault="007F4F2A" w:rsidP="005D48FA">
      <w:pPr>
        <w:jc w:val="both"/>
        <w:rPr>
          <w:rFonts w:ascii="Arial" w:hAnsi="Arial" w:cs="Arial"/>
        </w:rPr>
      </w:pPr>
    </w:p>
    <w:sectPr w:rsidR="007F4F2A" w:rsidRPr="00F84E5F" w:rsidSect="006F5DD2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E9" w:rsidRDefault="000519E9" w:rsidP="00CF2968">
      <w:pPr>
        <w:spacing w:after="0" w:line="240" w:lineRule="auto"/>
      </w:pPr>
      <w:r>
        <w:separator/>
      </w:r>
    </w:p>
  </w:endnote>
  <w:endnote w:type="continuationSeparator" w:id="0">
    <w:p w:rsidR="000519E9" w:rsidRDefault="000519E9" w:rsidP="00CF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D" w:rsidRDefault="0049581A" w:rsidP="00FB1CAD">
    <w:pPr>
      <w:rPr>
        <w:rFonts w:ascii="Arial" w:hAnsi="Arial" w:cs="Arial"/>
        <w:sz w:val="20"/>
        <w:szCs w:val="20"/>
      </w:rPr>
    </w:pPr>
    <w:r w:rsidRPr="00155108">
      <w:rPr>
        <w:rFonts w:ascii="Arial" w:hAnsi="Arial" w:cs="Arial"/>
        <w:sz w:val="20"/>
        <w:szCs w:val="20"/>
      </w:rPr>
      <w:t xml:space="preserve">Data da elaboração: Dezembro/2000                                                      Data da revisão </w:t>
    </w:r>
    <w:r w:rsidR="00FB1CAD">
      <w:rPr>
        <w:rFonts w:ascii="Arial" w:hAnsi="Arial" w:cs="Arial"/>
        <w:sz w:val="20"/>
        <w:szCs w:val="20"/>
      </w:rPr>
      <w:t>17/06/2015</w:t>
    </w:r>
  </w:p>
  <w:p w:rsidR="0049581A" w:rsidRPr="00155108" w:rsidRDefault="0049581A" w:rsidP="0049581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Número de revisão: </w:t>
    </w:r>
    <w:r w:rsidR="00FB1CAD">
      <w:rPr>
        <w:rFonts w:ascii="Arial" w:hAnsi="Arial" w:cs="Arial"/>
        <w:sz w:val="20"/>
        <w:szCs w:val="20"/>
      </w:rPr>
      <w:t>(15</w:t>
    </w:r>
    <w:r w:rsidRPr="00155108">
      <w:rPr>
        <w:rFonts w:ascii="Arial" w:hAnsi="Arial" w:cs="Arial"/>
        <w:sz w:val="20"/>
        <w:szCs w:val="20"/>
      </w:rPr>
      <w:t>)</w:t>
    </w:r>
  </w:p>
  <w:p w:rsidR="0049581A" w:rsidRDefault="004958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E9" w:rsidRDefault="000519E9" w:rsidP="00CF2968">
      <w:pPr>
        <w:spacing w:after="0" w:line="240" w:lineRule="auto"/>
      </w:pPr>
      <w:r>
        <w:separator/>
      </w:r>
    </w:p>
  </w:footnote>
  <w:footnote w:type="continuationSeparator" w:id="0">
    <w:p w:rsidR="000519E9" w:rsidRDefault="000519E9" w:rsidP="00CF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94975"/>
      <w:docPartObj>
        <w:docPartGallery w:val="Page Numbers (Top of Page)"/>
        <w:docPartUnique/>
      </w:docPartObj>
    </w:sdtPr>
    <w:sdtEndPr/>
    <w:sdtContent>
      <w:p w:rsidR="00CF2968" w:rsidRDefault="000519E9" w:rsidP="0049581A">
        <w:pPr>
          <w:pStyle w:val="Cabealho"/>
        </w:pPr>
        <w:r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margin-left:127.95pt;margin-top:-28.8pt;width:219pt;height:114.95pt;z-index:251658240;mso-position-horizontal-relative:text;mso-position-vertical-relative:text;mso-width-relative:margin;mso-height-relative:margin" stroked="f">
              <v:textbox>
                <w:txbxContent>
                  <w:p w:rsidR="0049581A" w:rsidRPr="00571A7C" w:rsidRDefault="0049581A" w:rsidP="0049581A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FICHA DE IN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FORMAÇÃO</w:t>
                    </w: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E SEGURANÇA DE PRODUTOS QUÍMICOS – FISPQ.</w:t>
                    </w:r>
                  </w:p>
                  <w:p w:rsidR="0049581A" w:rsidRPr="00571A7C" w:rsidRDefault="0049581A" w:rsidP="0049581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Produto:</w:t>
                    </w:r>
                    <w:r w:rsidRPr="00571A7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MALATOL 1000 CE</w:t>
                    </w:r>
                  </w:p>
                </w:txbxContent>
              </v:textbox>
            </v:shape>
          </w:pict>
        </w:r>
        <w:r w:rsidR="0049581A" w:rsidRPr="0049581A">
          <w:rPr>
            <w:noProof/>
            <w:lang w:eastAsia="pt-BR"/>
          </w:rPr>
          <w:drawing>
            <wp:inline distT="0" distB="0" distL="0" distR="0">
              <wp:extent cx="1552575" cy="1162050"/>
              <wp:effectExtent l="19050" t="0" r="9525" b="0"/>
              <wp:docPr id="5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162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49581A">
          <w:tab/>
        </w:r>
        <w:r w:rsidR="0049581A">
          <w:tab/>
        </w:r>
        <w:r w:rsidR="00CF2968">
          <w:t xml:space="preserve">Página </w:t>
        </w:r>
        <w:r w:rsidR="006C4421">
          <w:rPr>
            <w:b/>
            <w:sz w:val="24"/>
            <w:szCs w:val="24"/>
          </w:rPr>
          <w:fldChar w:fldCharType="begin"/>
        </w:r>
        <w:r w:rsidR="00CF2968">
          <w:rPr>
            <w:b/>
          </w:rPr>
          <w:instrText>PAGE</w:instrText>
        </w:r>
        <w:r w:rsidR="006C4421">
          <w:rPr>
            <w:b/>
            <w:sz w:val="24"/>
            <w:szCs w:val="24"/>
          </w:rPr>
          <w:fldChar w:fldCharType="separate"/>
        </w:r>
        <w:r w:rsidR="00FB1CAD">
          <w:rPr>
            <w:b/>
            <w:noProof/>
          </w:rPr>
          <w:t>1</w:t>
        </w:r>
        <w:r w:rsidR="006C4421">
          <w:rPr>
            <w:b/>
            <w:sz w:val="24"/>
            <w:szCs w:val="24"/>
          </w:rPr>
          <w:fldChar w:fldCharType="end"/>
        </w:r>
        <w:r w:rsidR="00CF2968">
          <w:t xml:space="preserve"> de </w:t>
        </w:r>
        <w:r w:rsidR="006C4421">
          <w:rPr>
            <w:b/>
            <w:sz w:val="24"/>
            <w:szCs w:val="24"/>
          </w:rPr>
          <w:fldChar w:fldCharType="begin"/>
        </w:r>
        <w:r w:rsidR="00CF2968">
          <w:rPr>
            <w:b/>
          </w:rPr>
          <w:instrText>NUMPAGES</w:instrText>
        </w:r>
        <w:r w:rsidR="006C4421">
          <w:rPr>
            <w:b/>
            <w:sz w:val="24"/>
            <w:szCs w:val="24"/>
          </w:rPr>
          <w:fldChar w:fldCharType="separate"/>
        </w:r>
        <w:r w:rsidR="00FB1CAD">
          <w:rPr>
            <w:b/>
            <w:noProof/>
          </w:rPr>
          <w:t>9</w:t>
        </w:r>
        <w:r w:rsidR="006C4421">
          <w:rPr>
            <w:b/>
            <w:sz w:val="24"/>
            <w:szCs w:val="24"/>
          </w:rPr>
          <w:fldChar w:fldCharType="end"/>
        </w:r>
      </w:p>
    </w:sdtContent>
  </w:sdt>
  <w:p w:rsidR="00CF2968" w:rsidRDefault="00CF29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0E6"/>
    <w:rsid w:val="000519E9"/>
    <w:rsid w:val="00087455"/>
    <w:rsid w:val="001C0362"/>
    <w:rsid w:val="00237A1C"/>
    <w:rsid w:val="002512BB"/>
    <w:rsid w:val="00485005"/>
    <w:rsid w:val="0049581A"/>
    <w:rsid w:val="005D48FA"/>
    <w:rsid w:val="005E2927"/>
    <w:rsid w:val="006C4421"/>
    <w:rsid w:val="006F14F4"/>
    <w:rsid w:val="006F6DE6"/>
    <w:rsid w:val="007F4F2A"/>
    <w:rsid w:val="00843D0B"/>
    <w:rsid w:val="00874F68"/>
    <w:rsid w:val="008F33C8"/>
    <w:rsid w:val="009271DA"/>
    <w:rsid w:val="009A0412"/>
    <w:rsid w:val="009D2DD2"/>
    <w:rsid w:val="009D47E6"/>
    <w:rsid w:val="009F40C5"/>
    <w:rsid w:val="00AA00DF"/>
    <w:rsid w:val="00AC4836"/>
    <w:rsid w:val="00B40BED"/>
    <w:rsid w:val="00B67F9A"/>
    <w:rsid w:val="00C7169B"/>
    <w:rsid w:val="00C71965"/>
    <w:rsid w:val="00C920E6"/>
    <w:rsid w:val="00CA0CA9"/>
    <w:rsid w:val="00CA3554"/>
    <w:rsid w:val="00CC16F1"/>
    <w:rsid w:val="00CF2968"/>
    <w:rsid w:val="00D55935"/>
    <w:rsid w:val="00DA3C12"/>
    <w:rsid w:val="00E70149"/>
    <w:rsid w:val="00ED475C"/>
    <w:rsid w:val="00F13D4C"/>
    <w:rsid w:val="00F33B80"/>
    <w:rsid w:val="00F65B34"/>
    <w:rsid w:val="00F84E5F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20E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55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4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968"/>
  </w:style>
  <w:style w:type="paragraph" w:styleId="Rodap">
    <w:name w:val="footer"/>
    <w:basedOn w:val="Normal"/>
    <w:link w:val="RodapChar"/>
    <w:uiPriority w:val="99"/>
    <w:unhideWhenUsed/>
    <w:rsid w:val="00CF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biocarb@biocarb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adilson</dc:creator>
  <cp:keywords/>
  <dc:description/>
  <cp:lastModifiedBy>Maq</cp:lastModifiedBy>
  <cp:revision>9</cp:revision>
  <cp:lastPrinted>2013-05-20T14:46:00Z</cp:lastPrinted>
  <dcterms:created xsi:type="dcterms:W3CDTF">2013-05-10T17:26:00Z</dcterms:created>
  <dcterms:modified xsi:type="dcterms:W3CDTF">2015-06-17T19:06:00Z</dcterms:modified>
</cp:coreProperties>
</file>